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5D21C4EC" w:rsidR="005A1DE2" w:rsidRDefault="005A1DE2" w:rsidP="005A1DE2">
      <w:pPr>
        <w:pStyle w:val="Title"/>
      </w:pPr>
      <w:r>
        <w:t>LP 6,7- Relativité</w:t>
      </w:r>
    </w:p>
    <w:p w14:paraId="0CA594B4" w14:textId="2C115776" w:rsidR="005672D2" w:rsidRDefault="005672D2" w:rsidP="005672D2">
      <w:pPr>
        <w:pStyle w:val="Heading1"/>
        <w:numPr>
          <w:ilvl w:val="0"/>
          <w:numId w:val="0"/>
        </w:numPr>
        <w:ind w:left="1080"/>
      </w:pPr>
      <w:r>
        <w:t>Références</w:t>
      </w:r>
    </w:p>
    <w:p w14:paraId="30550A28" w14:textId="50336464" w:rsidR="005672D2" w:rsidRPr="00AF5DE1" w:rsidRDefault="005B6443" w:rsidP="005672D2">
      <w:r>
        <w:rPr>
          <w:b/>
          <w:bCs/>
        </w:rPr>
        <w:t xml:space="preserve">Taylor : </w:t>
      </w:r>
      <w:r w:rsidR="005672D2">
        <w:rPr>
          <w:b/>
          <w:bCs/>
        </w:rPr>
        <w:t xml:space="preserve">Mécanique Classique (chapitre 15) </w:t>
      </w:r>
    </w:p>
    <w:p w14:paraId="5E9F41C5" w14:textId="0D797422" w:rsidR="00AF5DE1" w:rsidRPr="005B6443" w:rsidRDefault="00AF5DE1" w:rsidP="005672D2">
      <w:r>
        <w:rPr>
          <w:b/>
          <w:bCs/>
        </w:rPr>
        <w:t>Relativité Restreinte (Michel et Nicole Hulin)</w:t>
      </w:r>
    </w:p>
    <w:p w14:paraId="13221394" w14:textId="2ADD7386" w:rsidR="005A1DE2" w:rsidRDefault="005A1DE2" w:rsidP="005A1DE2">
      <w:pPr>
        <w:pStyle w:val="Heading1"/>
        <w:numPr>
          <w:ilvl w:val="0"/>
          <w:numId w:val="0"/>
        </w:numPr>
        <w:ind w:left="1080"/>
      </w:pPr>
      <w:r>
        <w:t>Prérequis</w:t>
      </w:r>
    </w:p>
    <w:p w14:paraId="6C564C68" w14:textId="2F76B9EB" w:rsidR="005A1DE2" w:rsidRDefault="005A1DE2" w:rsidP="005A1DE2">
      <w:r>
        <w:t>Mécanique Newtonienne</w:t>
      </w:r>
    </w:p>
    <w:p w14:paraId="78C7277D" w14:textId="585B57A3" w:rsidR="005A1DE2" w:rsidRDefault="005A1DE2" w:rsidP="005A1DE2">
      <w:r>
        <w:t>Transformation de Galilée</w:t>
      </w:r>
    </w:p>
    <w:p w14:paraId="433DF1F0" w14:textId="303DB7B1" w:rsidR="004E107D" w:rsidRDefault="004E107D" w:rsidP="005A1DE2">
      <w:r>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90852E2" w:rsidR="009926FD" w:rsidRDefault="009926FD" w:rsidP="005A1DE2">
      <w:r>
        <w:t>Notion d’évènement</w:t>
      </w:r>
    </w:p>
    <w:p w14:paraId="71FAC43B" w14:textId="130AD012" w:rsidR="00E319DF" w:rsidRDefault="004E107D" w:rsidP="004E107D">
      <w:pPr>
        <w:pStyle w:val="Heading1"/>
        <w:numPr>
          <w:ilvl w:val="0"/>
          <w:numId w:val="0"/>
        </w:numPr>
        <w:ind w:left="1080"/>
      </w:pPr>
      <w:r>
        <w:t>Introduction</w:t>
      </w:r>
    </w:p>
    <w:p w14:paraId="20DCF32B" w14:textId="10CA96BB"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un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se propagerait.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 et donc que les lois de la physique sont covariantes d’un référentiel inertiel à l’autre. </w:t>
      </w:r>
    </w:p>
    <w:p w14:paraId="2B9D1CBF" w14:textId="729A3F86"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jamais été mis en défaut</w:t>
      </w:r>
      <w:r w:rsidR="0037255A">
        <w:t xml:space="preserve"> contrairement aux postulats de Newton qui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37255A">
        <w:t xml:space="preserve"> du monde</w:t>
      </w:r>
      <w:r w:rsidR="00B669D1">
        <w:t xml:space="preserve"> en commençant par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19DED06F" w:rsidR="00076716" w:rsidRDefault="00E35572" w:rsidP="00A84542">
      <w:r>
        <w:rPr>
          <w:b/>
          <w:bCs/>
        </w:rPr>
        <w:t>L’horloge à photons </w:t>
      </w:r>
      <w:r w:rsidR="00076716">
        <w:rPr>
          <w:b/>
          <w:bCs/>
        </w:rPr>
        <w:t>(p676 §15.4 Taylor)</w:t>
      </w:r>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7777777" w:rsidR="00076716" w:rsidRDefault="00076716" w:rsidP="00A84542">
      <w:r w:rsidRPr="00076716">
        <w:rPr>
          <w:b/>
          <w:bCs/>
        </w:rPr>
        <w:lastRenderedPageBreak/>
        <w:t>Description de l’expérience</w:t>
      </w:r>
      <w:r>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w:t>
      </w:r>
      <w:proofErr w:type="spellStart"/>
      <w:r w:rsidR="009926FD">
        <w:rPr>
          <w:rFonts w:eastAsiaTheme="minorEastAsia"/>
        </w:rPr>
        <w:t>ie</w:t>
      </w:r>
      <w:proofErr w:type="spellEnd"/>
      <w:r w:rsidR="009926FD">
        <w:rPr>
          <w:rFonts w:eastAsiaTheme="minorEastAsia"/>
        </w:rPr>
        <w:t xml:space="preserv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w:t>
      </w:r>
      <w:proofErr w:type="spellStart"/>
      <w:r w:rsidR="009926FD">
        <w:rPr>
          <w:rFonts w:eastAsiaTheme="minorEastAsia"/>
        </w:rPr>
        <w:t>ilise</w:t>
      </w:r>
      <w:proofErr w:type="spellEnd"/>
      <w:r w:rsidR="009926FD">
        <w:rPr>
          <w:rFonts w:eastAsiaTheme="minorEastAsia"/>
        </w:rPr>
        <w:t xml:space="preserv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7788F3A1" w:rsidR="009926FD" w:rsidRDefault="009926FD" w:rsidP="009926FD">
      <w:r>
        <w:t>Cette formule exprime bien que la durée entre 2 évènements</w:t>
      </w:r>
      <w:r w:rsidR="00C21693">
        <w:t xml:space="preserve"> ayant lieu au même endroit (</w:t>
      </w:r>
      <w:proofErr w:type="spellStart"/>
      <w:r w:rsidR="00C21693">
        <w:t>ie</w:t>
      </w:r>
      <w:proofErr w:type="spellEnd"/>
      <w:r w:rsidR="00C21693">
        <w:t xml:space="preserv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2F5496" w:themeColor="accent1" w:themeShade="BF"/>
              </w:rPr>
            </m:ctrlPr>
          </m:sSubPr>
          <m:e>
            <m:r>
              <w:rPr>
                <w:rFonts w:ascii="Cambria Math" w:hAnsi="Cambria Math"/>
                <w:color w:val="2F5496" w:themeColor="accent1" w:themeShade="BF"/>
              </w:rPr>
              <m:t>t</m:t>
            </m:r>
          </m:e>
          <m:sub>
            <m:r>
              <w:rPr>
                <w:rFonts w:ascii="Cambria Math" w:hAnsi="Cambria Math"/>
                <w:color w:val="2F5496" w:themeColor="accent1" w:themeShade="BF"/>
              </w:rPr>
              <m:t>p</m:t>
            </m:r>
          </m:sub>
        </m:sSub>
      </m:oMath>
      <w:r w:rsidR="008C3D27" w:rsidRPr="008C3D27">
        <w:rPr>
          <w:color w:val="FF0000"/>
        </w:rPr>
        <w:t>.</w:t>
      </w:r>
      <w:r w:rsidR="00436FCB">
        <w:rPr>
          <w:color w:val="FF0000"/>
        </w:rPr>
        <w:t xml:space="preserve"> </w:t>
      </w:r>
      <w:r w:rsidR="00C7418A">
        <w:rPr>
          <w:color w:val="FF0000"/>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42D19547" w:rsidR="005672D2" w:rsidRDefault="00F026A1" w:rsidP="00A84542">
      <w:r>
        <w:rPr>
          <w:b/>
          <w:bCs/>
        </w:rPr>
        <w:t>Deux vérifications expérimentales :</w:t>
      </w:r>
      <w:r w:rsidR="002072C9">
        <w:rPr>
          <w:b/>
          <w:bCs/>
        </w:rPr>
        <w:t xml:space="preserve"> </w:t>
      </w:r>
      <w:r w:rsidR="002072C9">
        <w:t>Cette expérience de pensée est bien jolie mais est-ce qu’elle décrit un phénomène réel mesurable expérimentalement. La première fois que la dilatation du temps est observé</w:t>
      </w:r>
      <w:r w:rsidR="00DC7B28">
        <w:t>e</w:t>
      </w:r>
      <w:r w:rsidR="002072C9">
        <w:t>, c’est en 1941 par l’expérience de Rossi et Hall en mesurant la différence entre les durée</w:t>
      </w:r>
      <w:r w:rsidR="00DC7B28">
        <w:t>s</w:t>
      </w:r>
      <w:r w:rsidR="002072C9">
        <w:t xml:space="preserve"> caractéristique</w:t>
      </w:r>
      <w:r w:rsidR="00814DB1">
        <w:t>s</w:t>
      </w:r>
      <w:r w:rsidR="002072C9">
        <w:t xml:space="preserve"> de désintégration de muons en mouvement </w:t>
      </w:r>
      <w:r w:rsidR="00814DB1">
        <w:t>(</w:t>
      </w:r>
      <m:oMath>
        <m:r>
          <w:rPr>
            <w:rFonts w:ascii="Cambria Math" w:hAnsi="Cambria Math"/>
          </w:rPr>
          <m:t xml:space="preserve">v=0.995c) </m:t>
        </m:r>
      </m:oMath>
      <w:r w:rsidR="002072C9">
        <w:t>et au repos</w:t>
      </w:r>
      <w:r w:rsidR="00DC7B28">
        <w:t xml:space="preserve"> (dans le référentiel propre)</w:t>
      </w:r>
      <w:r w:rsidR="002072C9">
        <w:t>.</w:t>
      </w:r>
      <w:r w:rsidR="00814DB1">
        <w:t xml:space="preserve"> </w:t>
      </w:r>
      <w:r w:rsidR="002072C9">
        <w:t xml:space="preserve">  </w:t>
      </w:r>
      <w:r>
        <w:rPr>
          <w:b/>
          <w:bCs/>
        </w:rPr>
        <w:t xml:space="preserve"> </w:t>
      </w:r>
      <w:r w:rsidR="004A21B3">
        <w:t xml:space="preserve">1971 horloge atomique dans un avion à réaction </w:t>
      </w:r>
    </w:p>
    <w:p w14:paraId="325C7B6B" w14:textId="20F77CBB" w:rsidR="00E17483" w:rsidRDefault="00E17483" w:rsidP="00E17483">
      <w:pPr>
        <w:numPr>
          <w:ilvl w:val="0"/>
          <w:numId w:val="0"/>
        </w:numPr>
        <w:ind w:left="708"/>
        <w:rPr>
          <w:b/>
          <w:bCs/>
        </w:rPr>
      </w:pPr>
    </w:p>
    <w:p w14:paraId="5ED87738" w14:textId="1CF2EA07" w:rsidR="00E17483" w:rsidRDefault="00E17483" w:rsidP="00E17483">
      <w:pPr>
        <w:pStyle w:val="Heading2"/>
      </w:pPr>
      <w:r>
        <w:t>Contraction des longueurs et Transformation de Lorentz</w:t>
      </w:r>
    </w:p>
    <w:p w14:paraId="2E08C23F" w14:textId="7857E125" w:rsidR="00E17483" w:rsidRDefault="00795BA2" w:rsidP="00795BA2">
      <w:pPr>
        <w:pStyle w:val="Heading2"/>
      </w:pPr>
      <w:r>
        <w:t xml:space="preserve">Conséquences sur la simultanéité et </w:t>
      </w:r>
      <w:r w:rsidR="007644B2">
        <w:t>la causalité et la vitesse</w:t>
      </w:r>
    </w:p>
    <w:p w14:paraId="5E653CCE" w14:textId="3D65D20C" w:rsidR="00AA47A0" w:rsidRPr="00AA47A0" w:rsidRDefault="00AA47A0" w:rsidP="00AA47A0">
      <w:r>
        <w:rPr>
          <w:b/>
          <w:bCs/>
        </w:rPr>
        <w:t>Exemple du serpent relativiste pour la simultanéité (Taylor p687)</w:t>
      </w:r>
    </w:p>
    <w:p w14:paraId="0637E749" w14:textId="522FB773" w:rsidR="00AA47A0" w:rsidRPr="005F4726" w:rsidRDefault="00AA47A0" w:rsidP="00AA47A0">
      <w:r>
        <w:rPr>
          <w:b/>
          <w:bCs/>
        </w:rPr>
        <w:t>Causalité, vecteur genre espace, vecteur genre temps, conservation du produit scalaire, cône de lumière</w:t>
      </w:r>
    </w:p>
    <w:p w14:paraId="0B9D9065" w14:textId="36B92F76" w:rsidR="005F4726" w:rsidRDefault="005F4726" w:rsidP="005F4726">
      <w:pPr>
        <w:numPr>
          <w:ilvl w:val="0"/>
          <w:numId w:val="0"/>
        </w:numPr>
        <w:ind w:left="708"/>
        <w:rPr>
          <w:b/>
          <w:bCs/>
        </w:rPr>
      </w:pPr>
    </w:p>
    <w:p w14:paraId="795E8141" w14:textId="77777777" w:rsidR="005F4726" w:rsidRPr="00AA47A0" w:rsidRDefault="005F4726" w:rsidP="005F4726">
      <w:pPr>
        <w:numPr>
          <w:ilvl w:val="0"/>
          <w:numId w:val="0"/>
        </w:numPr>
        <w:ind w:left="708"/>
      </w:pPr>
    </w:p>
    <w:p w14:paraId="25CA41F6" w14:textId="5B513C14" w:rsidR="007644B2" w:rsidRDefault="007644B2" w:rsidP="007644B2">
      <w:pPr>
        <w:numPr>
          <w:ilvl w:val="0"/>
          <w:numId w:val="0"/>
        </w:numPr>
      </w:pPr>
    </w:p>
    <w:p w14:paraId="567AB091" w14:textId="77777777" w:rsidR="007644B2" w:rsidRPr="007644B2" w:rsidRDefault="007644B2" w:rsidP="007644B2">
      <w:pPr>
        <w:numPr>
          <w:ilvl w:val="0"/>
          <w:numId w:val="0"/>
        </w:numPr>
      </w:pPr>
    </w:p>
    <w:p w14:paraId="0D4C3C3B" w14:textId="77777777" w:rsidR="008478B5" w:rsidRPr="0041187E" w:rsidRDefault="008478B5" w:rsidP="004E107D">
      <w:pPr>
        <w:numPr>
          <w:ilvl w:val="0"/>
          <w:numId w:val="0"/>
        </w:numPr>
        <w:ind w:left="1068"/>
        <w:rPr>
          <w:b/>
          <w:bCs/>
        </w:rPr>
      </w:pPr>
    </w:p>
    <w:p w14:paraId="6B26F72B" w14:textId="4E9752FE" w:rsidR="005665A5" w:rsidRDefault="005665A5">
      <w:pPr>
        <w:numPr>
          <w:ilvl w:val="0"/>
          <w:numId w:val="0"/>
        </w:numPr>
        <w:contextualSpacing w:val="0"/>
        <w:jc w:val="left"/>
      </w:pPr>
      <w:r>
        <w:br w:type="page"/>
      </w:r>
    </w:p>
    <w:p w14:paraId="1E57BFF4" w14:textId="72A9FCF6" w:rsidR="0041187E" w:rsidRDefault="005665A5" w:rsidP="005665A5">
      <w:pPr>
        <w:pStyle w:val="Heading1"/>
        <w:numPr>
          <w:ilvl w:val="0"/>
          <w:numId w:val="0"/>
        </w:numPr>
        <w:ind w:left="1080"/>
      </w:pPr>
      <w:r>
        <w:lastRenderedPageBreak/>
        <w:t xml:space="preserve">Annexe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2B14AA3C" w:rsidR="005665A5" w:rsidRDefault="005665A5" w:rsidP="005665A5">
      <w:r>
        <w:rPr>
          <w:b/>
          <w:bCs/>
        </w:rPr>
        <w:t xml:space="preserve">But de l’expérience : </w:t>
      </w:r>
      <w:r>
        <w:t xml:space="preserve">On pense à l’époque que la lumière a besoin pour </w:t>
      </w:r>
      <w:proofErr w:type="spellStart"/>
      <w:r>
        <w:t>ce</w:t>
      </w:r>
      <w:proofErr w:type="spellEnd"/>
      <w:r>
        <w:t xml:space="preserv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(facteur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8"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746312ED"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m:t>
        </m:r>
        <m:r>
          <w:rPr>
            <w:rFonts w:ascii="Cambria Math" w:eastAsiaTheme="minorEastAsia" w:hAnsi="Cambria Math"/>
          </w:rPr>
          <m:t>V=0.9952c</m:t>
        </m:r>
        <m:r>
          <w:rPr>
            <w:rFonts w:ascii="Cambria Math" w:eastAsiaTheme="minorEastAsia" w:hAnsi="Cambria Math"/>
          </w:rPr>
          <m:t xml:space="preserve"> </m:t>
        </m:r>
        <m:r>
          <w:rPr>
            <w:rFonts w:ascii="Cambria Math" w:eastAsiaTheme="minorEastAsia" w:hAnsi="Cambria Math"/>
          </w:rPr>
          <m:t>)</m:t>
        </m:r>
        <m:r>
          <w:rPr>
            <w:rStyle w:val="FootnoteReference"/>
            <w:rFonts w:ascii="Cambria Math" w:eastAsiaTheme="minorEastAsia" w:hAnsi="Cambria Math"/>
            <w:i/>
          </w:rPr>
          <w:footnoteReference w:id="1"/>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m:t>
        </m:r>
        <m:r>
          <w:rPr>
            <w:rFonts w:ascii="Cambria Math" w:eastAsiaTheme="minorEastAsia" w:hAnsi="Cambria Math"/>
          </w:rPr>
          <m:t xml:space="preserve"> </m:t>
        </m:r>
        <m:r>
          <w:rPr>
            <w:rFonts w:ascii="Cambria Math" w:eastAsiaTheme="minorEastAsia" w:hAnsi="Cambria Math"/>
          </w:rPr>
          <m:t>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w:t>
      </w:r>
      <w:proofErr w:type="spellStart"/>
      <w:r w:rsidR="009908B3">
        <w:rPr>
          <w:rFonts w:eastAsiaTheme="minorEastAsia"/>
        </w:rPr>
        <w:t>ie</w:t>
      </w:r>
      <w:proofErr w:type="spellEnd"/>
      <w:r w:rsidR="009908B3">
        <w:rPr>
          <w:rFonts w:eastAsiaTheme="minorEastAsia"/>
        </w:rPr>
        <w:t xml:space="preserv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=18</m:t>
        </m:r>
      </m:oMath>
      <w:r w:rsidR="009908B3">
        <w:rPr>
          <w:rFonts w:eastAsiaTheme="minorEastAsia"/>
        </w:rPr>
        <w:t>)</w:t>
      </w:r>
    </w:p>
    <w:p w14:paraId="797896CF" w14:textId="3157215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r>
          <w:rPr>
            <w:rFonts w:ascii="Cambria Math" w:eastAsiaTheme="minorEastAsia" w:hAnsi="Cambria Math"/>
          </w:rPr>
          <m:t>0.7</m:t>
        </m:r>
        <m:r>
          <w:rPr>
            <w:rFonts w:ascii="Cambria Math" w:eastAsiaTheme="minorEastAsia" w:hAnsi="Cambria Math"/>
          </w:rPr>
          <m:t>2</m:t>
        </m:r>
      </m:oMath>
      <w:r w:rsidR="009908B3">
        <w:rPr>
          <w:rFonts w:eastAsiaTheme="minorEastAsia"/>
        </w:rPr>
        <w:t xml:space="preserve">. </w:t>
      </w:r>
    </w:p>
    <w:p w14:paraId="43B67009" w14:textId="42D1B43D" w:rsidR="009908B3" w:rsidRPr="00F960C4"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bookmarkStart w:id="0" w:name="_GoBack"/>
      <w:bookmarkEnd w:id="0"/>
    </w:p>
    <w:sectPr w:rsidR="009908B3" w:rsidRPr="00F960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E982F" w14:textId="77777777" w:rsidR="00B57D53" w:rsidRDefault="00B57D53" w:rsidP="00A27ED0">
      <w:r>
        <w:separator/>
      </w:r>
    </w:p>
  </w:endnote>
  <w:endnote w:type="continuationSeparator" w:id="0">
    <w:p w14:paraId="1CE1B27D" w14:textId="77777777" w:rsidR="00B57D53" w:rsidRDefault="00B57D53"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86924" w14:textId="77777777" w:rsidR="00B57D53" w:rsidRDefault="00B57D53" w:rsidP="00A27ED0">
      <w:r>
        <w:separator/>
      </w:r>
    </w:p>
  </w:footnote>
  <w:footnote w:type="continuationSeparator" w:id="0">
    <w:p w14:paraId="336F499D" w14:textId="77777777" w:rsidR="00B57D53" w:rsidRDefault="00B57D53" w:rsidP="00A27ED0">
      <w:r>
        <w:continuationSeparator/>
      </w:r>
    </w:p>
  </w:footnote>
  <w:footnote w:id="1">
    <w:p w14:paraId="17D9FF04" w14:textId="6ECBF10D" w:rsidR="00F960C4" w:rsidRPr="00F960C4" w:rsidRDefault="00F960C4" w:rsidP="00F960C4">
      <w:pPr>
        <w:numPr>
          <w:ilvl w:val="0"/>
          <w:numId w:val="0"/>
        </w:numPr>
        <w:ind w:left="1068"/>
        <w:rPr>
          <w:b/>
          <w:bCs/>
        </w:rPr>
      </w:pPr>
      <w:r>
        <w:rPr>
          <w:rStyle w:val="FootnoteReference"/>
        </w:rPr>
        <w:footnoteRef/>
      </w:r>
      <w:r>
        <w:t xml:space="preserve"> </w:t>
      </w:r>
      <w:r w:rsidRPr="00F960C4">
        <w:rPr>
          <w:sz w:val="14"/>
          <w:szCs w:val="14"/>
        </w:rPr>
        <w:t>Le détecteur est placé sous une épaisseur de 76 cm de fer; ainsi, il n'est sensible qu’aux particules dont la vitesse est comprise entre 99,50 % et 99,54 % de celle de la lumière; il</w:t>
      </w:r>
      <w:r w:rsidRPr="00F960C4">
        <w:rPr>
          <w:sz w:val="14"/>
          <w:szCs w:val="14"/>
        </w:rPr>
        <w:t xml:space="preserve"> </w:t>
      </w:r>
      <w:r w:rsidRPr="00F960C4">
        <w:rPr>
          <w:sz w:val="14"/>
          <w:szCs w:val="14"/>
        </w:rPr>
        <w:t>fonctionne sur le principe suivant :</w:t>
      </w:r>
      <w:r w:rsidRPr="00F960C4">
        <w:rPr>
          <w:sz w:val="14"/>
          <w:szCs w:val="14"/>
        </w:rPr>
        <w:t xml:space="preserve"> </w:t>
      </w:r>
      <w:r w:rsidRPr="00F960C4">
        <w:rPr>
          <w:sz w:val="14"/>
          <w:szCs w:val="14"/>
        </w:rPr>
        <w:t>Un cristal scintille au passage du muons et lui fait perdre son énergie : le muon est alors stoppé ; le scintillement génère un signal électrique qui indique la présence du muon (signal 1)</w:t>
      </w:r>
      <w:r w:rsidRPr="00F960C4">
        <w:rPr>
          <w:sz w:val="14"/>
          <w:szCs w:val="14"/>
        </w:rPr>
        <w:t xml:space="preserve"> ; </w:t>
      </w:r>
      <w:r w:rsidRPr="00F960C4">
        <w:rPr>
          <w:sz w:val="14"/>
          <w:szCs w:val="14"/>
        </w:rPr>
        <w:t xml:space="preserve">Le muon alors au repos se désintègre en émettant 3 particules dont l’une est chargée et détectable (signal 2). </w:t>
      </w:r>
      <w:r w:rsidRPr="00F960C4">
        <w:rPr>
          <w:sz w:val="14"/>
          <w:szCs w:val="1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10"/>
  </w:num>
  <w:num w:numId="4">
    <w:abstractNumId w:val="1"/>
  </w:num>
  <w:num w:numId="5">
    <w:abstractNumId w:val="9"/>
  </w:num>
  <w:num w:numId="6">
    <w:abstractNumId w:val="6"/>
  </w:num>
  <w:num w:numId="7">
    <w:abstractNumId w:val="9"/>
    <w:lvlOverride w:ilvl="0">
      <w:startOverride w:val="1"/>
    </w:lvlOverride>
  </w:num>
  <w:num w:numId="8">
    <w:abstractNumId w:val="0"/>
    <w:lvlOverride w:ilvl="0">
      <w:startOverride w:val="1"/>
    </w:lvlOverride>
  </w:num>
  <w:num w:numId="9">
    <w:abstractNumId w:val="11"/>
  </w:num>
  <w:num w:numId="10">
    <w:abstractNumId w:val="0"/>
  </w:num>
  <w:num w:numId="11">
    <w:abstractNumId w:val="2"/>
  </w:num>
  <w:num w:numId="12">
    <w:abstractNumId w:val="3"/>
  </w:num>
  <w:num w:numId="13">
    <w:abstractNumId w:val="8"/>
  </w:num>
  <w:num w:numId="14">
    <w:abstractNumId w:val="0"/>
    <w:lvlOverride w:ilvl="0">
      <w:startOverride w:val="1"/>
    </w:lvlOverride>
  </w:num>
  <w:num w:numId="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76716"/>
    <w:rsid w:val="00077749"/>
    <w:rsid w:val="0008063F"/>
    <w:rsid w:val="000808E6"/>
    <w:rsid w:val="00086628"/>
    <w:rsid w:val="00090E3F"/>
    <w:rsid w:val="000A00B1"/>
    <w:rsid w:val="000A7BF2"/>
    <w:rsid w:val="000C64F0"/>
    <w:rsid w:val="000E269E"/>
    <w:rsid w:val="000E3286"/>
    <w:rsid w:val="000E3547"/>
    <w:rsid w:val="000E3568"/>
    <w:rsid w:val="000F0B1C"/>
    <w:rsid w:val="000F14F3"/>
    <w:rsid w:val="000F3E94"/>
    <w:rsid w:val="00103845"/>
    <w:rsid w:val="00106BF1"/>
    <w:rsid w:val="00112123"/>
    <w:rsid w:val="00114C03"/>
    <w:rsid w:val="00115C26"/>
    <w:rsid w:val="0012231E"/>
    <w:rsid w:val="001245F7"/>
    <w:rsid w:val="00130CC8"/>
    <w:rsid w:val="001372A6"/>
    <w:rsid w:val="001423FA"/>
    <w:rsid w:val="001429D1"/>
    <w:rsid w:val="00147CC6"/>
    <w:rsid w:val="00150D8C"/>
    <w:rsid w:val="001518B5"/>
    <w:rsid w:val="001536B7"/>
    <w:rsid w:val="00155448"/>
    <w:rsid w:val="00155919"/>
    <w:rsid w:val="001616F2"/>
    <w:rsid w:val="001659ED"/>
    <w:rsid w:val="001735C3"/>
    <w:rsid w:val="001806D6"/>
    <w:rsid w:val="00191476"/>
    <w:rsid w:val="00195422"/>
    <w:rsid w:val="001A21B9"/>
    <w:rsid w:val="001B3F89"/>
    <w:rsid w:val="001B456F"/>
    <w:rsid w:val="001B7569"/>
    <w:rsid w:val="001B7D9A"/>
    <w:rsid w:val="001C286F"/>
    <w:rsid w:val="001D19AD"/>
    <w:rsid w:val="001D1D93"/>
    <w:rsid w:val="001D378E"/>
    <w:rsid w:val="001D40F8"/>
    <w:rsid w:val="001D6522"/>
    <w:rsid w:val="001E119E"/>
    <w:rsid w:val="001E56B6"/>
    <w:rsid w:val="001F11E5"/>
    <w:rsid w:val="001F4BB3"/>
    <w:rsid w:val="001F5376"/>
    <w:rsid w:val="001F53DB"/>
    <w:rsid w:val="00200B28"/>
    <w:rsid w:val="00203B84"/>
    <w:rsid w:val="002072C9"/>
    <w:rsid w:val="0021584E"/>
    <w:rsid w:val="00215C57"/>
    <w:rsid w:val="00216670"/>
    <w:rsid w:val="00217980"/>
    <w:rsid w:val="00225D6F"/>
    <w:rsid w:val="00227333"/>
    <w:rsid w:val="00231625"/>
    <w:rsid w:val="00232EBF"/>
    <w:rsid w:val="00245991"/>
    <w:rsid w:val="0025563C"/>
    <w:rsid w:val="00255939"/>
    <w:rsid w:val="00256A93"/>
    <w:rsid w:val="00264A8F"/>
    <w:rsid w:val="00266C9F"/>
    <w:rsid w:val="002709FF"/>
    <w:rsid w:val="00284CB7"/>
    <w:rsid w:val="00285793"/>
    <w:rsid w:val="00293EC0"/>
    <w:rsid w:val="00295EF7"/>
    <w:rsid w:val="00296C97"/>
    <w:rsid w:val="00297919"/>
    <w:rsid w:val="002A643A"/>
    <w:rsid w:val="002A7461"/>
    <w:rsid w:val="002A7EAA"/>
    <w:rsid w:val="002B2A94"/>
    <w:rsid w:val="002B60E5"/>
    <w:rsid w:val="002B6916"/>
    <w:rsid w:val="002B70CC"/>
    <w:rsid w:val="002D0B5E"/>
    <w:rsid w:val="002D1CCB"/>
    <w:rsid w:val="002D2B05"/>
    <w:rsid w:val="002D3FBF"/>
    <w:rsid w:val="002E6798"/>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567B"/>
    <w:rsid w:val="003518D3"/>
    <w:rsid w:val="00351AB2"/>
    <w:rsid w:val="00352993"/>
    <w:rsid w:val="00356756"/>
    <w:rsid w:val="00356E1D"/>
    <w:rsid w:val="00366B86"/>
    <w:rsid w:val="00366C1C"/>
    <w:rsid w:val="0037255A"/>
    <w:rsid w:val="00372931"/>
    <w:rsid w:val="00377560"/>
    <w:rsid w:val="00377F28"/>
    <w:rsid w:val="0038103C"/>
    <w:rsid w:val="003818C5"/>
    <w:rsid w:val="00384F95"/>
    <w:rsid w:val="003878DC"/>
    <w:rsid w:val="00396E4E"/>
    <w:rsid w:val="003A444B"/>
    <w:rsid w:val="003A752E"/>
    <w:rsid w:val="003B1D75"/>
    <w:rsid w:val="003B57F3"/>
    <w:rsid w:val="003B6488"/>
    <w:rsid w:val="003C344C"/>
    <w:rsid w:val="003C373A"/>
    <w:rsid w:val="003C42E3"/>
    <w:rsid w:val="003C64F8"/>
    <w:rsid w:val="003D0198"/>
    <w:rsid w:val="003D78E2"/>
    <w:rsid w:val="003E1E5C"/>
    <w:rsid w:val="003E4FD3"/>
    <w:rsid w:val="003E7DDE"/>
    <w:rsid w:val="003E7F8D"/>
    <w:rsid w:val="003F5D4D"/>
    <w:rsid w:val="003F6B40"/>
    <w:rsid w:val="004032B4"/>
    <w:rsid w:val="00406F7D"/>
    <w:rsid w:val="0041187E"/>
    <w:rsid w:val="00413C8D"/>
    <w:rsid w:val="00415878"/>
    <w:rsid w:val="00420A04"/>
    <w:rsid w:val="00422AF3"/>
    <w:rsid w:val="00422AF8"/>
    <w:rsid w:val="00430E11"/>
    <w:rsid w:val="00436FCB"/>
    <w:rsid w:val="00440E83"/>
    <w:rsid w:val="00447027"/>
    <w:rsid w:val="004645CB"/>
    <w:rsid w:val="00465A32"/>
    <w:rsid w:val="004718DE"/>
    <w:rsid w:val="00483592"/>
    <w:rsid w:val="00492870"/>
    <w:rsid w:val="00492BCB"/>
    <w:rsid w:val="004933EE"/>
    <w:rsid w:val="004A21B3"/>
    <w:rsid w:val="004A2411"/>
    <w:rsid w:val="004A2ECA"/>
    <w:rsid w:val="004A78F7"/>
    <w:rsid w:val="004B0953"/>
    <w:rsid w:val="004B24BF"/>
    <w:rsid w:val="004B2B4E"/>
    <w:rsid w:val="004B4067"/>
    <w:rsid w:val="004B5F69"/>
    <w:rsid w:val="004D621C"/>
    <w:rsid w:val="004E107D"/>
    <w:rsid w:val="004F021F"/>
    <w:rsid w:val="004F3328"/>
    <w:rsid w:val="004F47DC"/>
    <w:rsid w:val="004F5F5D"/>
    <w:rsid w:val="004F62D6"/>
    <w:rsid w:val="004F677E"/>
    <w:rsid w:val="00501C46"/>
    <w:rsid w:val="00504F61"/>
    <w:rsid w:val="005117CA"/>
    <w:rsid w:val="00512339"/>
    <w:rsid w:val="005141E7"/>
    <w:rsid w:val="00520FF1"/>
    <w:rsid w:val="00530C17"/>
    <w:rsid w:val="005332C5"/>
    <w:rsid w:val="00540641"/>
    <w:rsid w:val="0054171D"/>
    <w:rsid w:val="00544BF5"/>
    <w:rsid w:val="00547568"/>
    <w:rsid w:val="00552504"/>
    <w:rsid w:val="005528CB"/>
    <w:rsid w:val="00553957"/>
    <w:rsid w:val="00563D48"/>
    <w:rsid w:val="005665A5"/>
    <w:rsid w:val="005672D2"/>
    <w:rsid w:val="005823B8"/>
    <w:rsid w:val="00582FB9"/>
    <w:rsid w:val="00583B69"/>
    <w:rsid w:val="00596260"/>
    <w:rsid w:val="005968A7"/>
    <w:rsid w:val="005A1D65"/>
    <w:rsid w:val="005A1DE2"/>
    <w:rsid w:val="005A2F18"/>
    <w:rsid w:val="005A524E"/>
    <w:rsid w:val="005A5B44"/>
    <w:rsid w:val="005B0842"/>
    <w:rsid w:val="005B4DC6"/>
    <w:rsid w:val="005B6443"/>
    <w:rsid w:val="005C197A"/>
    <w:rsid w:val="005C1E4B"/>
    <w:rsid w:val="005C2909"/>
    <w:rsid w:val="005C4D61"/>
    <w:rsid w:val="005C5837"/>
    <w:rsid w:val="005D50E2"/>
    <w:rsid w:val="005D76FE"/>
    <w:rsid w:val="005E2692"/>
    <w:rsid w:val="005E3844"/>
    <w:rsid w:val="005E5124"/>
    <w:rsid w:val="005E72D1"/>
    <w:rsid w:val="005F4726"/>
    <w:rsid w:val="00602643"/>
    <w:rsid w:val="0060298B"/>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50BC"/>
    <w:rsid w:val="00685942"/>
    <w:rsid w:val="0069281F"/>
    <w:rsid w:val="006A3ADC"/>
    <w:rsid w:val="006B5513"/>
    <w:rsid w:val="006B5C5F"/>
    <w:rsid w:val="006C37E3"/>
    <w:rsid w:val="006C56FD"/>
    <w:rsid w:val="006D1486"/>
    <w:rsid w:val="006D4F64"/>
    <w:rsid w:val="006D613D"/>
    <w:rsid w:val="006D7C08"/>
    <w:rsid w:val="006E1248"/>
    <w:rsid w:val="006E201F"/>
    <w:rsid w:val="006E3E4D"/>
    <w:rsid w:val="006E74B5"/>
    <w:rsid w:val="006F3130"/>
    <w:rsid w:val="006F5D14"/>
    <w:rsid w:val="00701FB6"/>
    <w:rsid w:val="007101F2"/>
    <w:rsid w:val="00713E1C"/>
    <w:rsid w:val="0072209B"/>
    <w:rsid w:val="00725A42"/>
    <w:rsid w:val="007308A5"/>
    <w:rsid w:val="007326DF"/>
    <w:rsid w:val="00735DA6"/>
    <w:rsid w:val="0074113F"/>
    <w:rsid w:val="00745105"/>
    <w:rsid w:val="007519A3"/>
    <w:rsid w:val="00751B49"/>
    <w:rsid w:val="00754036"/>
    <w:rsid w:val="00763A7F"/>
    <w:rsid w:val="00763CA4"/>
    <w:rsid w:val="007644B2"/>
    <w:rsid w:val="00771BCA"/>
    <w:rsid w:val="007769A6"/>
    <w:rsid w:val="00781C80"/>
    <w:rsid w:val="00790C3A"/>
    <w:rsid w:val="00795BA2"/>
    <w:rsid w:val="00797849"/>
    <w:rsid w:val="007A2A1D"/>
    <w:rsid w:val="007B2C3C"/>
    <w:rsid w:val="007B4129"/>
    <w:rsid w:val="007C3A23"/>
    <w:rsid w:val="007C7C23"/>
    <w:rsid w:val="007D0352"/>
    <w:rsid w:val="007D0E2C"/>
    <w:rsid w:val="007D1989"/>
    <w:rsid w:val="007D41AC"/>
    <w:rsid w:val="007E59CD"/>
    <w:rsid w:val="007E653D"/>
    <w:rsid w:val="007E78E0"/>
    <w:rsid w:val="007F41DD"/>
    <w:rsid w:val="007F4C6F"/>
    <w:rsid w:val="007F4EFF"/>
    <w:rsid w:val="007F50B0"/>
    <w:rsid w:val="00801F2C"/>
    <w:rsid w:val="00810C2E"/>
    <w:rsid w:val="00814C51"/>
    <w:rsid w:val="00814DB1"/>
    <w:rsid w:val="00820A6F"/>
    <w:rsid w:val="0082133B"/>
    <w:rsid w:val="00823959"/>
    <w:rsid w:val="0082399D"/>
    <w:rsid w:val="00841858"/>
    <w:rsid w:val="00843136"/>
    <w:rsid w:val="008438B7"/>
    <w:rsid w:val="008460E1"/>
    <w:rsid w:val="008478B5"/>
    <w:rsid w:val="0085219B"/>
    <w:rsid w:val="00852727"/>
    <w:rsid w:val="008557A0"/>
    <w:rsid w:val="00861322"/>
    <w:rsid w:val="008633C4"/>
    <w:rsid w:val="00865D3D"/>
    <w:rsid w:val="00866A9A"/>
    <w:rsid w:val="00866EE9"/>
    <w:rsid w:val="008754D1"/>
    <w:rsid w:val="008774F8"/>
    <w:rsid w:val="00880986"/>
    <w:rsid w:val="008903B0"/>
    <w:rsid w:val="00892B14"/>
    <w:rsid w:val="00893F12"/>
    <w:rsid w:val="008A319A"/>
    <w:rsid w:val="008A446E"/>
    <w:rsid w:val="008A6170"/>
    <w:rsid w:val="008B1180"/>
    <w:rsid w:val="008B4A57"/>
    <w:rsid w:val="008C0A08"/>
    <w:rsid w:val="008C1FE5"/>
    <w:rsid w:val="008C2184"/>
    <w:rsid w:val="008C3D27"/>
    <w:rsid w:val="008C5E9D"/>
    <w:rsid w:val="008D11BA"/>
    <w:rsid w:val="008D171E"/>
    <w:rsid w:val="008D69AE"/>
    <w:rsid w:val="008E7630"/>
    <w:rsid w:val="008F0A6A"/>
    <w:rsid w:val="0090066B"/>
    <w:rsid w:val="00901F51"/>
    <w:rsid w:val="009023DF"/>
    <w:rsid w:val="0090523B"/>
    <w:rsid w:val="00915976"/>
    <w:rsid w:val="00916513"/>
    <w:rsid w:val="009174AD"/>
    <w:rsid w:val="0091788A"/>
    <w:rsid w:val="00922709"/>
    <w:rsid w:val="009275E5"/>
    <w:rsid w:val="009411A4"/>
    <w:rsid w:val="0094228D"/>
    <w:rsid w:val="00944160"/>
    <w:rsid w:val="00946173"/>
    <w:rsid w:val="00946ABB"/>
    <w:rsid w:val="00950852"/>
    <w:rsid w:val="00952C4A"/>
    <w:rsid w:val="009575C3"/>
    <w:rsid w:val="0096142A"/>
    <w:rsid w:val="00962583"/>
    <w:rsid w:val="00985C66"/>
    <w:rsid w:val="009908B3"/>
    <w:rsid w:val="009926FD"/>
    <w:rsid w:val="009A0385"/>
    <w:rsid w:val="009A0F00"/>
    <w:rsid w:val="009A1172"/>
    <w:rsid w:val="009A3FF7"/>
    <w:rsid w:val="009A49DF"/>
    <w:rsid w:val="009A549F"/>
    <w:rsid w:val="009A76C8"/>
    <w:rsid w:val="009B03C5"/>
    <w:rsid w:val="009B5D9B"/>
    <w:rsid w:val="009C4257"/>
    <w:rsid w:val="009C7BF0"/>
    <w:rsid w:val="009D1E60"/>
    <w:rsid w:val="009D71E6"/>
    <w:rsid w:val="009D7AB0"/>
    <w:rsid w:val="009E641C"/>
    <w:rsid w:val="009E747F"/>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69F0"/>
    <w:rsid w:val="00A44144"/>
    <w:rsid w:val="00A46D7B"/>
    <w:rsid w:val="00A51C83"/>
    <w:rsid w:val="00A5317C"/>
    <w:rsid w:val="00A53BB8"/>
    <w:rsid w:val="00A56687"/>
    <w:rsid w:val="00A6074A"/>
    <w:rsid w:val="00A609D1"/>
    <w:rsid w:val="00A6270C"/>
    <w:rsid w:val="00A62E2F"/>
    <w:rsid w:val="00A67E6B"/>
    <w:rsid w:val="00A7474A"/>
    <w:rsid w:val="00A75D31"/>
    <w:rsid w:val="00A8427C"/>
    <w:rsid w:val="00A84542"/>
    <w:rsid w:val="00A855E2"/>
    <w:rsid w:val="00A87C7C"/>
    <w:rsid w:val="00A96633"/>
    <w:rsid w:val="00A97E61"/>
    <w:rsid w:val="00AA371F"/>
    <w:rsid w:val="00AA47A0"/>
    <w:rsid w:val="00AA7474"/>
    <w:rsid w:val="00AB7E59"/>
    <w:rsid w:val="00AC1D00"/>
    <w:rsid w:val="00AC5848"/>
    <w:rsid w:val="00AD1988"/>
    <w:rsid w:val="00AD3F58"/>
    <w:rsid w:val="00AD67B0"/>
    <w:rsid w:val="00AE0606"/>
    <w:rsid w:val="00AE4BC5"/>
    <w:rsid w:val="00AF1EC1"/>
    <w:rsid w:val="00AF46FF"/>
    <w:rsid w:val="00AF5DE1"/>
    <w:rsid w:val="00AF6885"/>
    <w:rsid w:val="00AF70C9"/>
    <w:rsid w:val="00B0146C"/>
    <w:rsid w:val="00B0642B"/>
    <w:rsid w:val="00B11CAF"/>
    <w:rsid w:val="00B13C8A"/>
    <w:rsid w:val="00B40639"/>
    <w:rsid w:val="00B408A5"/>
    <w:rsid w:val="00B41401"/>
    <w:rsid w:val="00B42D9E"/>
    <w:rsid w:val="00B44D4C"/>
    <w:rsid w:val="00B4545A"/>
    <w:rsid w:val="00B523ED"/>
    <w:rsid w:val="00B57D53"/>
    <w:rsid w:val="00B631E5"/>
    <w:rsid w:val="00B669D1"/>
    <w:rsid w:val="00B710BB"/>
    <w:rsid w:val="00B82AE3"/>
    <w:rsid w:val="00B91D8C"/>
    <w:rsid w:val="00BA0A97"/>
    <w:rsid w:val="00BA53B6"/>
    <w:rsid w:val="00BA7380"/>
    <w:rsid w:val="00BB58F9"/>
    <w:rsid w:val="00BD4952"/>
    <w:rsid w:val="00BD561C"/>
    <w:rsid w:val="00BD6F54"/>
    <w:rsid w:val="00BE4CA1"/>
    <w:rsid w:val="00BF1F37"/>
    <w:rsid w:val="00BF382A"/>
    <w:rsid w:val="00C0293C"/>
    <w:rsid w:val="00C050CF"/>
    <w:rsid w:val="00C1042F"/>
    <w:rsid w:val="00C21693"/>
    <w:rsid w:val="00C31AA8"/>
    <w:rsid w:val="00C3512A"/>
    <w:rsid w:val="00C358DF"/>
    <w:rsid w:val="00C45A73"/>
    <w:rsid w:val="00C52FC3"/>
    <w:rsid w:val="00C574FB"/>
    <w:rsid w:val="00C5783B"/>
    <w:rsid w:val="00C63D82"/>
    <w:rsid w:val="00C73FD0"/>
    <w:rsid w:val="00C7418A"/>
    <w:rsid w:val="00C8083F"/>
    <w:rsid w:val="00C82B9A"/>
    <w:rsid w:val="00C92763"/>
    <w:rsid w:val="00C934C0"/>
    <w:rsid w:val="00CA1CFC"/>
    <w:rsid w:val="00CA35D9"/>
    <w:rsid w:val="00CA675B"/>
    <w:rsid w:val="00CA7C6D"/>
    <w:rsid w:val="00CB5191"/>
    <w:rsid w:val="00CB61B0"/>
    <w:rsid w:val="00CB7E86"/>
    <w:rsid w:val="00CC3B5D"/>
    <w:rsid w:val="00CC5ACA"/>
    <w:rsid w:val="00CC7A9C"/>
    <w:rsid w:val="00CD03DB"/>
    <w:rsid w:val="00CD4C56"/>
    <w:rsid w:val="00CD5DA8"/>
    <w:rsid w:val="00CD70ED"/>
    <w:rsid w:val="00CD76BE"/>
    <w:rsid w:val="00CE159E"/>
    <w:rsid w:val="00CE440F"/>
    <w:rsid w:val="00CE651E"/>
    <w:rsid w:val="00CF1F0E"/>
    <w:rsid w:val="00CF5FBB"/>
    <w:rsid w:val="00CF7E05"/>
    <w:rsid w:val="00CF7FF6"/>
    <w:rsid w:val="00D103B9"/>
    <w:rsid w:val="00D10B8B"/>
    <w:rsid w:val="00D13453"/>
    <w:rsid w:val="00D1596A"/>
    <w:rsid w:val="00D16361"/>
    <w:rsid w:val="00D21409"/>
    <w:rsid w:val="00D21D29"/>
    <w:rsid w:val="00D273E5"/>
    <w:rsid w:val="00D32B49"/>
    <w:rsid w:val="00D32CA1"/>
    <w:rsid w:val="00D348CA"/>
    <w:rsid w:val="00D461BC"/>
    <w:rsid w:val="00D5240D"/>
    <w:rsid w:val="00D52DBC"/>
    <w:rsid w:val="00D53850"/>
    <w:rsid w:val="00D57705"/>
    <w:rsid w:val="00D60918"/>
    <w:rsid w:val="00D61CAD"/>
    <w:rsid w:val="00D62C0C"/>
    <w:rsid w:val="00D63643"/>
    <w:rsid w:val="00D65B55"/>
    <w:rsid w:val="00D67784"/>
    <w:rsid w:val="00D76E78"/>
    <w:rsid w:val="00D7755E"/>
    <w:rsid w:val="00D77D35"/>
    <w:rsid w:val="00D77F37"/>
    <w:rsid w:val="00D82FAF"/>
    <w:rsid w:val="00D833B8"/>
    <w:rsid w:val="00D8388A"/>
    <w:rsid w:val="00D9145B"/>
    <w:rsid w:val="00D923D2"/>
    <w:rsid w:val="00D9401F"/>
    <w:rsid w:val="00D95631"/>
    <w:rsid w:val="00DA093B"/>
    <w:rsid w:val="00DA0B78"/>
    <w:rsid w:val="00DA6B59"/>
    <w:rsid w:val="00DB1D87"/>
    <w:rsid w:val="00DB55D9"/>
    <w:rsid w:val="00DB64A3"/>
    <w:rsid w:val="00DC17B5"/>
    <w:rsid w:val="00DC4534"/>
    <w:rsid w:val="00DC7B28"/>
    <w:rsid w:val="00DD0394"/>
    <w:rsid w:val="00DD1AEC"/>
    <w:rsid w:val="00DD5506"/>
    <w:rsid w:val="00DD7DA0"/>
    <w:rsid w:val="00DE1493"/>
    <w:rsid w:val="00DE5B4B"/>
    <w:rsid w:val="00DE7A48"/>
    <w:rsid w:val="00DF37C5"/>
    <w:rsid w:val="00DF3A4F"/>
    <w:rsid w:val="00E007FE"/>
    <w:rsid w:val="00E037B6"/>
    <w:rsid w:val="00E12E30"/>
    <w:rsid w:val="00E17483"/>
    <w:rsid w:val="00E21F87"/>
    <w:rsid w:val="00E23439"/>
    <w:rsid w:val="00E23DB0"/>
    <w:rsid w:val="00E24820"/>
    <w:rsid w:val="00E319DF"/>
    <w:rsid w:val="00E340C6"/>
    <w:rsid w:val="00E35572"/>
    <w:rsid w:val="00E410ED"/>
    <w:rsid w:val="00E425CB"/>
    <w:rsid w:val="00E473D0"/>
    <w:rsid w:val="00E512ED"/>
    <w:rsid w:val="00E55676"/>
    <w:rsid w:val="00E67F9C"/>
    <w:rsid w:val="00E70242"/>
    <w:rsid w:val="00E74AF9"/>
    <w:rsid w:val="00E835A4"/>
    <w:rsid w:val="00E8747D"/>
    <w:rsid w:val="00E93747"/>
    <w:rsid w:val="00E95E93"/>
    <w:rsid w:val="00EB197D"/>
    <w:rsid w:val="00EB4136"/>
    <w:rsid w:val="00EC134D"/>
    <w:rsid w:val="00EC155C"/>
    <w:rsid w:val="00EC682D"/>
    <w:rsid w:val="00ED7267"/>
    <w:rsid w:val="00EE7E06"/>
    <w:rsid w:val="00EF1190"/>
    <w:rsid w:val="00EF1740"/>
    <w:rsid w:val="00EF1BD6"/>
    <w:rsid w:val="00EF6D6B"/>
    <w:rsid w:val="00F01C26"/>
    <w:rsid w:val="00F026A1"/>
    <w:rsid w:val="00F02FA9"/>
    <w:rsid w:val="00F0501C"/>
    <w:rsid w:val="00F114C1"/>
    <w:rsid w:val="00F14F51"/>
    <w:rsid w:val="00F1670E"/>
    <w:rsid w:val="00F210A9"/>
    <w:rsid w:val="00F340B0"/>
    <w:rsid w:val="00F355FD"/>
    <w:rsid w:val="00F36B63"/>
    <w:rsid w:val="00F40A44"/>
    <w:rsid w:val="00F461E8"/>
    <w:rsid w:val="00F47E42"/>
    <w:rsid w:val="00F567BB"/>
    <w:rsid w:val="00F65C84"/>
    <w:rsid w:val="00F719EB"/>
    <w:rsid w:val="00F762DE"/>
    <w:rsid w:val="00F83D5A"/>
    <w:rsid w:val="00F846D1"/>
    <w:rsid w:val="00F9084E"/>
    <w:rsid w:val="00F960C4"/>
    <w:rsid w:val="00F96BBA"/>
    <w:rsid w:val="00FA3F96"/>
    <w:rsid w:val="00FA451D"/>
    <w:rsid w:val="00FC3989"/>
    <w:rsid w:val="00FC3D7A"/>
    <w:rsid w:val="00FC4359"/>
    <w:rsid w:val="00FC6F32"/>
    <w:rsid w:val="00FC6FD0"/>
    <w:rsid w:val="00FD0848"/>
    <w:rsid w:val="00FD1BED"/>
    <w:rsid w:val="00FD75E3"/>
    <w:rsid w:val="00FD7B6B"/>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physique.ens-lyon.fr/ressource/validation-relativite-restreinte-3.xml#N1006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CAAF-7492-4954-B932-090950E7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3</Pages>
  <Words>1047</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410</cp:revision>
  <cp:lastPrinted>2020-04-20T17:22:00Z</cp:lastPrinted>
  <dcterms:created xsi:type="dcterms:W3CDTF">2020-03-28T14:25:00Z</dcterms:created>
  <dcterms:modified xsi:type="dcterms:W3CDTF">2020-05-03T08:20:00Z</dcterms:modified>
</cp:coreProperties>
</file>