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EBC" w:rsidRDefault="00CD5EBC" w:rsidP="00CD5EBC">
      <w:pPr>
        <w:autoSpaceDE w:val="0"/>
        <w:autoSpaceDN w:val="0"/>
        <w:adjustRightInd w:val="0"/>
        <w:spacing w:after="0" w:line="240" w:lineRule="auto"/>
        <w:jc w:val="both"/>
        <w:rPr>
          <w:rFonts w:ascii="LMSans10-Bold" w:hAnsi="LMSans10-Bold" w:cs="LMSans10-Bold"/>
          <w:b/>
          <w:bCs/>
          <w:color w:val="CE2626"/>
          <w:sz w:val="29"/>
          <w:szCs w:val="29"/>
        </w:rPr>
      </w:pPr>
      <w:r>
        <w:rPr>
          <w:rFonts w:ascii="LMSans10-Bold" w:hAnsi="LMSans10-Bold" w:cs="LMSans10-Bold"/>
          <w:b/>
          <w:bCs/>
          <w:color w:val="CE2626"/>
          <w:sz w:val="29"/>
          <w:szCs w:val="29"/>
        </w:rPr>
        <w:t>MP09 : Diffraction des ondes lumineuses.</w:t>
      </w:r>
    </w:p>
    <w:p w:rsidR="00CD5EBC" w:rsidRDefault="00CD5EBC" w:rsidP="00CD5EBC">
      <w:pPr>
        <w:autoSpaceDE w:val="0"/>
        <w:autoSpaceDN w:val="0"/>
        <w:adjustRightInd w:val="0"/>
        <w:spacing w:after="0" w:line="240" w:lineRule="auto"/>
        <w:jc w:val="both"/>
        <w:rPr>
          <w:rFonts w:ascii="LMSans10-Bold" w:hAnsi="LMSans10-Bold" w:cs="LMSans10-Bold"/>
          <w:b/>
          <w:bCs/>
          <w:color w:val="36648C"/>
          <w:sz w:val="24"/>
          <w:szCs w:val="24"/>
        </w:rPr>
      </w:pPr>
      <w:r>
        <w:rPr>
          <w:rFonts w:ascii="LMSans10-Bold" w:hAnsi="LMSans10-Bold" w:cs="LMSans10-Bold"/>
          <w:b/>
          <w:bCs/>
          <w:color w:val="36648C"/>
          <w:sz w:val="24"/>
          <w:szCs w:val="24"/>
        </w:rPr>
        <w:t>Commentaires extraits des rapports de jury</w:t>
      </w:r>
    </w:p>
    <w:p w:rsidR="00CD5EBC" w:rsidRDefault="00CD5EBC" w:rsidP="00CD5EBC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t xml:space="preserve">2014 </w:t>
      </w:r>
      <w:r>
        <w:rPr>
          <w:rFonts w:ascii="LMRoman10-Regular" w:hAnsi="LMRoman10-Regular" w:cs="LMRoman10-Regular"/>
          <w:color w:val="000000"/>
          <w:sz w:val="20"/>
          <w:szCs w:val="20"/>
        </w:rPr>
        <w:t>: La différence entre diffraction de Fraunhofer et diffraction de Fresnel doit être connue, et l’on doit s’assurer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que les conditions de Fraunhofer sont remplies si l’on utilise les formules associées. Attention aux expériences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de filtrage spatial qui sont souvent mal comprises.</w:t>
      </w:r>
    </w:p>
    <w:p w:rsidR="00CD5EBC" w:rsidRDefault="00CD5EBC" w:rsidP="00CD5EBC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t xml:space="preserve">2010 à 2013 </w:t>
      </w:r>
      <w:r>
        <w:rPr>
          <w:rFonts w:ascii="LMRoman10-Regular" w:hAnsi="LMRoman10-Regular" w:cs="LMRoman10-Regular"/>
          <w:color w:val="000000"/>
          <w:sz w:val="20"/>
          <w:szCs w:val="20"/>
        </w:rPr>
        <w:t>: La différence entre diffraction de Fraunhofer et diffraction de Fresnel doit être connue, et l’on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doit s’assurer que les conditions de Fraunhofer (tant sur l’onde incidente que sur le plan d’observation) sont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remplies si l’on utilise les formules associées. Rappelons que les phénomènes de diffraction peuvent s’observer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avec d’autres sources lumineuses que des lasers, dont le « </w:t>
      </w:r>
      <w:proofErr w:type="spellStart"/>
      <w:r>
        <w:rPr>
          <w:rFonts w:ascii="LMRoman10-Regular" w:hAnsi="LMRoman10-Regular" w:cs="LMRoman10-Regular"/>
          <w:color w:val="000000"/>
          <w:sz w:val="20"/>
          <w:szCs w:val="20"/>
        </w:rPr>
        <w:t>speckle</w:t>
      </w:r>
      <w:proofErr w:type="spell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» peut parfois nuire à la précision des mesures.</w:t>
      </w:r>
    </w:p>
    <w:p w:rsidR="00CD5EBC" w:rsidRDefault="00CD5EBC" w:rsidP="00CD5EBC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À propos des réseaux :</w:t>
      </w:r>
    </w:p>
    <w:p w:rsidR="00CD5EBC" w:rsidRDefault="00CD5EBC" w:rsidP="00CD5EBC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• </w:t>
      </w: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t xml:space="preserve">Attention aux protocoles de réglages : </w:t>
      </w:r>
      <w:r>
        <w:rPr>
          <w:rFonts w:ascii="LMRoman10-Regular" w:hAnsi="LMRoman10-Regular" w:cs="LMRoman10-Regular"/>
          <w:color w:val="000000"/>
          <w:sz w:val="20"/>
          <w:szCs w:val="20"/>
        </w:rPr>
        <w:t>alignements (bancs d’optique conseillés), orientation, hauteur,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conditions de Fraunhofer.</w:t>
      </w:r>
    </w:p>
    <w:p w:rsidR="00CD5EBC" w:rsidRDefault="00CD5EBC" w:rsidP="00CD5EBC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MathSymbols10-Regular" w:hAnsi="LMMathSymbols10-Regular" w:cs="LMMathSymbols10-Regular"/>
          <w:color w:val="000000"/>
          <w:sz w:val="20"/>
          <w:szCs w:val="20"/>
        </w:rPr>
        <w:t xml:space="preserve">• </w:t>
      </w: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t xml:space="preserve">Attention aux conditions de validité des relations employées : </w:t>
      </w:r>
      <w:r>
        <w:rPr>
          <w:rFonts w:ascii="LMRoman10-Regular" w:hAnsi="LMRoman10-Regular" w:cs="LMRoman10-Regular"/>
          <w:color w:val="000000"/>
          <w:sz w:val="20"/>
          <w:szCs w:val="20"/>
        </w:rPr>
        <w:t>l’angle d’incidence n’est pas toujours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nul (par exemple dans la relation de Bragg) : on peut avoir intérêt ou pas, à se placer à un minimum de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déviation.</w:t>
      </w:r>
    </w:p>
    <w:p w:rsidR="00CD5EBC" w:rsidRDefault="00CD5EBC" w:rsidP="00CD5EBC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t xml:space="preserve">2009 </w:t>
      </w:r>
      <w:r>
        <w:rPr>
          <w:rFonts w:ascii="LMRoman10-Regular" w:hAnsi="LMRoman10-Regular" w:cs="LMRoman10-Regular"/>
          <w:color w:val="000000"/>
          <w:sz w:val="20"/>
          <w:szCs w:val="20"/>
        </w:rPr>
        <w:t>: La diffraction de Fraunhofer est souvent évoquée sans que ses conditions d’obtention soient bien connues.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Rappelons que les phénomènes de diffraction peuvent s’observer avec d’autres sources lumineuses que des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lasers.</w:t>
      </w:r>
    </w:p>
    <w:p w:rsidR="00CD5EBC" w:rsidRDefault="00CD5EBC" w:rsidP="00CD5EBC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t xml:space="preserve">2008 </w:t>
      </w:r>
      <w:r>
        <w:rPr>
          <w:rFonts w:ascii="LMRoman10-Regular" w:hAnsi="LMRoman10-Regular" w:cs="LMRoman10-Regular"/>
          <w:color w:val="000000"/>
          <w:sz w:val="20"/>
          <w:szCs w:val="20"/>
        </w:rPr>
        <w:t>: Dans toute expérience d’optique, les figures sont de bien meilleure qualité quand les appareils sont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convenablement alignés. Ce fut tout particulièrement le cas pour ces deux montages.</w:t>
      </w:r>
    </w:p>
    <w:p w:rsidR="00CD5EBC" w:rsidRDefault="00CD5EBC" w:rsidP="00CD5EBC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t xml:space="preserve">2004 </w:t>
      </w:r>
      <w:r>
        <w:rPr>
          <w:rFonts w:ascii="LMRoman10-Regular" w:hAnsi="LMRoman10-Regular" w:cs="LMRoman10-Regular"/>
          <w:color w:val="000000"/>
          <w:sz w:val="20"/>
          <w:szCs w:val="20"/>
        </w:rPr>
        <w:t>: Dans ces montages, les mesures de largeurs de fentes mal calibrées, ou dont la largeur est donnée de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manière indicative (sans indication de précision), ne peuvent pas constituer le thème central de l’étude. Il serait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illusoire d’espérer déterminer avec une précision satisfaisante la longueur d’onde d’un laser He-Ne à partir de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l’analyse de la figure de diffraction par une fente, même calibrée. L’utilisation de montages avec réseaux doit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être mieux maîtrisée, en évitant de confondre angles et déviations par rapport à l’ordre zéro. Les conditions de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Fraunhofer, plus larges que la simple </w:t>
      </w:r>
      <w:r>
        <w:rPr>
          <w:rFonts w:ascii="LMRoman10-Italic" w:hAnsi="LMRoman10-Italic" w:cs="LMRoman10-Italic"/>
          <w:i/>
          <w:iCs/>
          <w:color w:val="000000"/>
          <w:sz w:val="20"/>
          <w:szCs w:val="20"/>
        </w:rPr>
        <w:t>diffraction à l’infini</w:t>
      </w:r>
      <w:r>
        <w:rPr>
          <w:rFonts w:ascii="LMRoman10-Regular" w:hAnsi="LMRoman10-Regular" w:cs="LMRoman10-Regular"/>
          <w:color w:val="000000"/>
          <w:sz w:val="20"/>
          <w:szCs w:val="20"/>
        </w:rPr>
        <w:t>, gagneraient à être connues. Dans les expériences de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filtrage spatial de type passe-haut, l’utilisation d’objets de phase serait certainement plus pertinente que celle</w:t>
      </w:r>
    </w:p>
    <w:p w:rsidR="00CD5EBC" w:rsidRDefault="00CD5EBC" w:rsidP="00CD5EBC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d’une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plume.</w:t>
      </w:r>
    </w:p>
    <w:p w:rsidR="00CD5EBC" w:rsidRDefault="00CD5EBC" w:rsidP="00CD5EBC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t xml:space="preserve">2000 </w:t>
      </w:r>
      <w:r>
        <w:rPr>
          <w:rFonts w:ascii="LMRoman10-Regular" w:hAnsi="LMRoman10-Regular" w:cs="LMRoman10-Regular"/>
          <w:color w:val="000000"/>
          <w:sz w:val="20"/>
          <w:szCs w:val="20"/>
        </w:rPr>
        <w:t>: La diffraction est certes un phénomène gênant, mais pas uniquement : le principe de fonctionnement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d’instruments comme les réseaux optiques repose sur son existence. L’optique diffractive prend de plus en plus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d’importance industrielle.</w:t>
      </w:r>
    </w:p>
    <w:p w:rsidR="00CD5EBC" w:rsidRDefault="00CD5EBC" w:rsidP="00CD5EBC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t xml:space="preserve">1999 </w:t>
      </w:r>
      <w:r>
        <w:rPr>
          <w:rFonts w:ascii="LMRoman10-Regular" w:hAnsi="LMRoman10-Regular" w:cs="LMRoman10-Regular"/>
          <w:color w:val="000000"/>
          <w:sz w:val="20"/>
          <w:szCs w:val="20"/>
        </w:rPr>
        <w:t>: Le passage de la diffraction de Fresnel à celle de Fraunhofer peut donner lieu à une estimation quantitative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des conditions à remplir.</w:t>
      </w:r>
    </w:p>
    <w:p w:rsidR="00CD5EBC" w:rsidRDefault="00CD5EBC" w:rsidP="00CD5EBC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t xml:space="preserve">1997 </w:t>
      </w:r>
      <w:r>
        <w:rPr>
          <w:rFonts w:ascii="LMRoman10-Regular" w:hAnsi="LMRoman10-Regular" w:cs="LMRoman10-Regular"/>
          <w:color w:val="000000"/>
          <w:sz w:val="20"/>
          <w:szCs w:val="20"/>
        </w:rPr>
        <w:t>: On doit pouvoir donner le critère quantitatif de la limite entre l’approximation de Fresnel et celle de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Fraunhofer. Le filtrage en éclairage incohérent a aussi des applications.</w:t>
      </w:r>
    </w:p>
    <w:p w:rsidR="00CD5EBC" w:rsidRDefault="00CD5EBC" w:rsidP="00CD5EBC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t xml:space="preserve">1994 </w:t>
      </w:r>
      <w:r>
        <w:rPr>
          <w:rFonts w:ascii="LMRoman10-Regular" w:hAnsi="LMRoman10-Regular" w:cs="LMRoman10-Regular"/>
          <w:color w:val="000000"/>
          <w:sz w:val="20"/>
          <w:szCs w:val="20"/>
        </w:rPr>
        <w:t>: La strioscopie est rarement montrée dans de bonnes conditions. Tout comme la réussite des expériences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de biréfringence, la conduite de cette expérience exige une certaine maîtrise théorique du sujet.</w:t>
      </w:r>
    </w:p>
    <w:p w:rsidR="00CD5EBC" w:rsidRDefault="00CD5EBC" w:rsidP="00CD5EBC">
      <w:pPr>
        <w:autoSpaceDE w:val="0"/>
        <w:autoSpaceDN w:val="0"/>
        <w:adjustRightInd w:val="0"/>
        <w:spacing w:after="0" w:line="240" w:lineRule="auto"/>
        <w:jc w:val="both"/>
        <w:rPr>
          <w:rFonts w:ascii="LMSans10-Bold" w:hAnsi="LMSans10-Bold" w:cs="LMSans10-Bold"/>
          <w:b/>
          <w:bCs/>
          <w:color w:val="36648C"/>
          <w:sz w:val="24"/>
          <w:szCs w:val="24"/>
        </w:rPr>
      </w:pPr>
    </w:p>
    <w:p w:rsidR="00CD5EBC" w:rsidRDefault="00CD5EBC" w:rsidP="00CD5EBC">
      <w:pPr>
        <w:autoSpaceDE w:val="0"/>
        <w:autoSpaceDN w:val="0"/>
        <w:adjustRightInd w:val="0"/>
        <w:spacing w:after="0" w:line="240" w:lineRule="auto"/>
        <w:jc w:val="both"/>
        <w:rPr>
          <w:rFonts w:ascii="LMSans10-Bold" w:hAnsi="LMSans10-Bold" w:cs="LMSans10-Bold"/>
          <w:b/>
          <w:bCs/>
          <w:color w:val="36648C"/>
          <w:sz w:val="24"/>
          <w:szCs w:val="24"/>
        </w:rPr>
      </w:pPr>
      <w:r>
        <w:rPr>
          <w:rFonts w:ascii="LMSans10-Bold" w:hAnsi="LMSans10-Bold" w:cs="LMSans10-Bold"/>
          <w:b/>
          <w:bCs/>
          <w:color w:val="36648C"/>
          <w:sz w:val="24"/>
          <w:szCs w:val="24"/>
        </w:rPr>
        <w:t>Retour des années précédentes</w:t>
      </w:r>
    </w:p>
    <w:p w:rsidR="00CD5EBC" w:rsidRDefault="00CD5EBC" w:rsidP="00CD5EBC">
      <w:pPr>
        <w:autoSpaceDE w:val="0"/>
        <w:autoSpaceDN w:val="0"/>
        <w:adjustRightInd w:val="0"/>
        <w:spacing w:after="0" w:line="240" w:lineRule="auto"/>
        <w:jc w:val="both"/>
        <w:rPr>
          <w:rFonts w:ascii="LMSans10-Bold" w:hAnsi="LMSans10-Bold" w:cs="LMSans10-Bold"/>
          <w:b/>
          <w:bCs/>
          <w:color w:val="000000"/>
          <w:sz w:val="20"/>
          <w:szCs w:val="20"/>
        </w:rPr>
      </w:pPr>
      <w:r>
        <w:rPr>
          <w:rFonts w:ascii="LMSans10-Bold" w:hAnsi="LMSans10-Bold" w:cs="LMSans10-Bold"/>
          <w:b/>
          <w:bCs/>
          <w:color w:val="000000"/>
          <w:sz w:val="20"/>
          <w:szCs w:val="20"/>
        </w:rPr>
        <w:t>Agrégation 2013 - Note : 09/20</w:t>
      </w:r>
    </w:p>
    <w:p w:rsidR="00CD5EBC" w:rsidRDefault="00CD5EBC" w:rsidP="00CD5EBC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t xml:space="preserve">Questions du jury : </w:t>
      </w:r>
      <w:r>
        <w:rPr>
          <w:rFonts w:ascii="LMRoman10-Regular" w:hAnsi="LMRoman10-Regular" w:cs="LMRoman10-Regular"/>
          <w:color w:val="000000"/>
          <w:sz w:val="20"/>
          <w:szCs w:val="20"/>
        </w:rPr>
        <w:t>Qu’est-ce que vous avez voulu montrer par votre première expérience ? Quelle différence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entre Fresnel et Fraunhofer ? Est-ce que l’on ne peut pas tirer davantage d’information de votre première courbe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(largeur de la </w:t>
      </w:r>
      <w:proofErr w:type="spellStart"/>
      <w:r>
        <w:rPr>
          <w:rFonts w:ascii="LMRoman10-Regular" w:hAnsi="LMRoman10-Regular" w:cs="LMRoman10-Regular"/>
          <w:color w:val="000000"/>
          <w:sz w:val="20"/>
          <w:szCs w:val="20"/>
        </w:rPr>
        <w:t>tache</w:t>
      </w:r>
      <w:proofErr w:type="spell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principale de diffraction en fonction de l’ouverture de la fente, ndlr) ? Pour le choix du laser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vert, vous avez parlé du rôle du filtre </w:t>
      </w:r>
      <w:proofErr w:type="spellStart"/>
      <w:r>
        <w:rPr>
          <w:rFonts w:ascii="LMRoman10-Regular" w:hAnsi="LMRoman10-Regular" w:cs="LMRoman10-Regular"/>
          <w:color w:val="000000"/>
          <w:sz w:val="20"/>
          <w:szCs w:val="20"/>
        </w:rPr>
        <w:t>anticalorique</w:t>
      </w:r>
      <w:proofErr w:type="spellEnd"/>
      <w:r>
        <w:rPr>
          <w:rFonts w:ascii="LMRoman10-Regular" w:hAnsi="LMRoman10-Regular" w:cs="LMRoman10-Regular"/>
          <w:color w:val="000000"/>
          <w:sz w:val="20"/>
          <w:szCs w:val="20"/>
        </w:rPr>
        <w:t>. N’y a-t-il pas une autre raison (max de sensibilité de l’</w:t>
      </w:r>
      <w:proofErr w:type="spellStart"/>
      <w:r>
        <w:rPr>
          <w:rFonts w:ascii="LMRoman10-Regular" w:hAnsi="LMRoman10-Regular" w:cs="LMRoman10-Regular"/>
          <w:color w:val="000000"/>
          <w:sz w:val="20"/>
          <w:szCs w:val="20"/>
        </w:rPr>
        <w:t>oeil</w:t>
      </w:r>
      <w:proofErr w:type="spellEnd"/>
      <w:r>
        <w:rPr>
          <w:rFonts w:ascii="LMRoman10-Regular" w:hAnsi="LMRoman10-Regular" w:cs="LMRoman10-Regular"/>
          <w:color w:val="000000"/>
          <w:sz w:val="20"/>
          <w:szCs w:val="20"/>
        </w:rPr>
        <w:t>,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ndlr) ? Dans les expériences de filtrage, vous avez parlé de transformée de Fourier, mais dans quel domaine ?</w:t>
      </w:r>
    </w:p>
    <w:p w:rsidR="00CD5EBC" w:rsidRDefault="00CD5EBC" w:rsidP="00CD5EBC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t xml:space="preserve">Remarques du jury : </w:t>
      </w:r>
      <w:r>
        <w:rPr>
          <w:rFonts w:ascii="LMRoman10-Regular" w:hAnsi="LMRoman10-Regular" w:cs="LMRoman10-Regular"/>
          <w:color w:val="000000"/>
          <w:sz w:val="20"/>
          <w:szCs w:val="20"/>
        </w:rPr>
        <w:t>Début de l’exposé pas clair, et questions correspondantes aussi. Il manquait un</w:t>
      </w:r>
    </w:p>
    <w:p w:rsidR="00CD5EBC" w:rsidRDefault="00CD5EBC" w:rsidP="00CD5EBC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enchaînement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logique pour rendre l’exposé plus pédagogique. Sinon, la suite était bien et a été appréciée. Pouvoir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de résolution bien </w:t>
      </w: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traité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>, et filtrage aussi. L’expérience sur la diffraction de Fresnel est rarement présentée ainsi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(protocole du </w:t>
      </w:r>
      <w:proofErr w:type="spellStart"/>
      <w:r>
        <w:rPr>
          <w:rFonts w:ascii="LMRoman10-Regular" w:hAnsi="LMRoman10-Regular" w:cs="LMRoman10-Regular"/>
          <w:color w:val="000000"/>
          <w:sz w:val="20"/>
          <w:szCs w:val="20"/>
        </w:rPr>
        <w:t>Duffait</w:t>
      </w:r>
      <w:proofErr w:type="spell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, ndlr). Ça a été apprécié. Ce qui manquait pour passer </w:t>
      </w:r>
      <w:proofErr w:type="spellStart"/>
      <w:r>
        <w:rPr>
          <w:rFonts w:ascii="LMRoman10-Regular" w:hAnsi="LMRoman10-Regular" w:cs="LMRoman10-Regular"/>
          <w:color w:val="000000"/>
          <w:sz w:val="20"/>
          <w:szCs w:val="20"/>
        </w:rPr>
        <w:t>au dessus</w:t>
      </w:r>
      <w:proofErr w:type="spell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de la moyenne, c’est une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exploitation plus poussée des courbes. Il faut les exploiter jusqu’au dernier détail.</w:t>
      </w:r>
    </w:p>
    <w:p w:rsidR="00CD5EBC" w:rsidRDefault="00CD5EBC" w:rsidP="00CD5EBC">
      <w:pPr>
        <w:autoSpaceDE w:val="0"/>
        <w:autoSpaceDN w:val="0"/>
        <w:adjustRightInd w:val="0"/>
        <w:spacing w:after="0" w:line="240" w:lineRule="auto"/>
        <w:jc w:val="both"/>
        <w:rPr>
          <w:rFonts w:ascii="LMSans10-Bold" w:hAnsi="LMSans10-Bold" w:cs="LMSans10-Bold"/>
          <w:b/>
          <w:bCs/>
          <w:color w:val="000000"/>
          <w:sz w:val="20"/>
          <w:szCs w:val="20"/>
        </w:rPr>
      </w:pPr>
      <w:r>
        <w:rPr>
          <w:rFonts w:ascii="LMSans10-Bold" w:hAnsi="LMSans10-Bold" w:cs="LMSans10-Bold"/>
          <w:b/>
          <w:bCs/>
          <w:color w:val="000000"/>
          <w:sz w:val="20"/>
          <w:szCs w:val="20"/>
        </w:rPr>
        <w:t>Agrégation 2014 - Note : 09/20 - Choix avec « Amplification de signaux »</w:t>
      </w:r>
    </w:p>
    <w:p w:rsidR="00CD5EBC" w:rsidRDefault="00CD5EBC" w:rsidP="00CD5EBC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>J’ai présenté la diffraction de Fresnel, celle de Fraunhofer via la diffraction par un fil, la diffraction par</w:t>
      </w:r>
    </w:p>
    <w:p w:rsidR="00CD5EBC" w:rsidRDefault="00CD5EBC" w:rsidP="00CD5EBC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  <w:color w:val="000000"/>
          <w:sz w:val="20"/>
          <w:szCs w:val="20"/>
        </w:rPr>
      </w:pP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un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réseau à l’aide d’un spectromètre, les limites liées à la diffraction (critère de Rayleigh). Questions : Autres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types de diffractions ? Construction des anneaux de Fresnel (</w:t>
      </w:r>
      <w:proofErr w:type="spellStart"/>
      <w:r>
        <w:rPr>
          <w:rFonts w:ascii="LMRoman10-Regular" w:hAnsi="LMRoman10-Regular" w:cs="LMRoman10-Regular"/>
          <w:color w:val="000000"/>
          <w:sz w:val="20"/>
          <w:szCs w:val="20"/>
        </w:rPr>
        <w:t>cf</w:t>
      </w:r>
      <w:proofErr w:type="spell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proofErr w:type="spellStart"/>
      <w:r>
        <w:rPr>
          <w:rFonts w:ascii="LMRoman10-Regular" w:hAnsi="LMRoman10-Regular" w:cs="LMRoman10-Regular"/>
          <w:color w:val="000000"/>
          <w:sz w:val="20"/>
          <w:szCs w:val="20"/>
        </w:rPr>
        <w:t>Bruhat</w:t>
      </w:r>
      <w:proofErr w:type="spell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optique) ? Dans </w:t>
      </w:r>
      <w:r>
        <w:rPr>
          <w:rFonts w:ascii="LMRoman10-Regular" w:hAnsi="LMRoman10-Regular" w:cs="LMRoman10-Regular"/>
          <w:color w:val="000000"/>
          <w:sz w:val="20"/>
          <w:szCs w:val="20"/>
        </w:rPr>
        <w:lastRenderedPageBreak/>
        <w:t>Fresnel, où est située la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source ? Dans Fraunhofer, expliciter les incertitudes prises en compte. Quels types de réseaux existent ? Leur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fonctionnement ? Comment fonctionne le </w:t>
      </w:r>
      <w:proofErr w:type="spellStart"/>
      <w:r>
        <w:rPr>
          <w:rFonts w:ascii="LMRoman10-Regular" w:hAnsi="LMRoman10-Regular" w:cs="LMRoman10-Regular"/>
          <w:color w:val="000000"/>
          <w:sz w:val="20"/>
          <w:szCs w:val="20"/>
        </w:rPr>
        <w:t>spectro</w:t>
      </w:r>
      <w:proofErr w:type="spell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?</w:t>
      </w:r>
    </w:p>
    <w:p w:rsidR="00CD5EBC" w:rsidRDefault="00CD5EBC" w:rsidP="00CD5EBC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  <w:color w:val="000000"/>
          <w:sz w:val="20"/>
          <w:szCs w:val="20"/>
        </w:rPr>
      </w:pPr>
      <w:bookmarkStart w:id="0" w:name="_GoBack"/>
      <w:bookmarkEnd w:id="0"/>
    </w:p>
    <w:p w:rsidR="00CD5EBC" w:rsidRDefault="00CD5EBC" w:rsidP="00CD5EBC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  <w:color w:val="000000"/>
          <w:sz w:val="20"/>
          <w:szCs w:val="20"/>
        </w:rPr>
      </w:pP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En préparation les techniciens ont été très </w:t>
      </w:r>
      <w:proofErr w:type="gramStart"/>
      <w:r>
        <w:rPr>
          <w:rFonts w:ascii="LMRoman10-Regular" w:hAnsi="LMRoman10-Regular" w:cs="LMRoman10-Regular"/>
          <w:color w:val="000000"/>
          <w:sz w:val="20"/>
          <w:szCs w:val="20"/>
        </w:rPr>
        <w:t>sympa</w:t>
      </w:r>
      <w:proofErr w:type="gram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et à l’écoute cependant ils m’ont plus ralentie qu’autre chose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sur certaines manips. Concernant le </w:t>
      </w:r>
      <w:proofErr w:type="spellStart"/>
      <w:r>
        <w:rPr>
          <w:rFonts w:ascii="LMRoman10-Regular" w:hAnsi="LMRoman10-Regular" w:cs="LMRoman10-Regular"/>
          <w:color w:val="000000"/>
          <w:sz w:val="20"/>
          <w:szCs w:val="20"/>
        </w:rPr>
        <w:t>spectro</w:t>
      </w:r>
      <w:proofErr w:type="spell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, Ulysse était cassé et </w:t>
      </w:r>
      <w:proofErr w:type="spellStart"/>
      <w:r>
        <w:rPr>
          <w:rFonts w:ascii="LMRoman10-Regular" w:hAnsi="LMRoman10-Regular" w:cs="LMRoman10-Regular"/>
          <w:color w:val="000000"/>
          <w:sz w:val="20"/>
          <w:szCs w:val="20"/>
        </w:rPr>
        <w:t>Ocean</w:t>
      </w:r>
      <w:proofErr w:type="spell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proofErr w:type="spellStart"/>
      <w:r>
        <w:rPr>
          <w:rFonts w:ascii="LMRoman10-Regular" w:hAnsi="LMRoman10-Regular" w:cs="LMRoman10-Regular"/>
          <w:color w:val="000000"/>
          <w:sz w:val="20"/>
          <w:szCs w:val="20"/>
        </w:rPr>
        <w:t>optics</w:t>
      </w:r>
      <w:proofErr w:type="spell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uniquement sur le pc de Lyon qui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était déjà utilisé donc j’ai pris un autre </w:t>
      </w:r>
      <w:proofErr w:type="spellStart"/>
      <w:r>
        <w:rPr>
          <w:rFonts w:ascii="LMRoman10-Regular" w:hAnsi="LMRoman10-Regular" w:cs="LMRoman10-Regular"/>
          <w:color w:val="000000"/>
          <w:sz w:val="20"/>
          <w:szCs w:val="20"/>
        </w:rPr>
        <w:t>spectro</w:t>
      </w:r>
      <w:proofErr w:type="spellEnd"/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dont je ne connaissais pas le logiciel, ça m’a valu la détection de 2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longueurs d’onde correspondant à la série de Balmer au lieu de 4 et une question à laquelle je n’ai pas su répondre.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J’ai eu beaucoup de mal à obtenir plus de 3 anneaux de Fresnel (j’ai tout essayé sauf modifier la distance objectif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de microscope/trou, c’est le jury qui me l’a fait remarquer) cependant ils ont apprécié la prise de risque avec cette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manip qui est très rarement présentée. Pour la </w:t>
      </w:r>
      <w:proofErr w:type="spellStart"/>
      <w:r>
        <w:rPr>
          <w:rFonts w:ascii="LMRoman10-Regular" w:hAnsi="LMRoman10-Regular" w:cs="LMRoman10-Regular"/>
          <w:color w:val="000000"/>
          <w:sz w:val="20"/>
          <w:szCs w:val="20"/>
        </w:rPr>
        <w:t>spectro</w:t>
      </w:r>
      <w:proofErr w:type="spellEnd"/>
      <w:r>
        <w:rPr>
          <w:rFonts w:ascii="LMRoman10-Regular" w:hAnsi="LMRoman10-Regular" w:cs="LMRoman10-Regular"/>
          <w:color w:val="000000"/>
          <w:sz w:val="20"/>
          <w:szCs w:val="20"/>
        </w:rPr>
        <w:t>, ils m’ont dit lors de l’entretien que c’était un peu hors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sujet, et que la diffraction par un réseau pouvait cependant être présentée via un réseau posé sur un goniomètre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tout en utilisant la formule des réseaux. Pour le critère de Rayleigh (que je n’ai pas eu le temps de présenter) qui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n’était que qualitatif, ils conseillent de remplacer cette manip par une autre plus quantitative.</w:t>
      </w:r>
    </w:p>
    <w:p w:rsidR="00C23E23" w:rsidRDefault="00CD5EBC" w:rsidP="00CD5EBC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LMRoman10-Regular" w:hAnsi="LMRoman10-Regular" w:cs="LMRoman10-Regular"/>
          <w:color w:val="000000"/>
          <w:sz w:val="20"/>
          <w:szCs w:val="20"/>
        </w:rPr>
        <w:t>En sortant du montage que j’ai passé à 5h30 et qui était mon premier oral, j’étais certaine d’avoir 3 ou 4/20.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Au final j’ai eu 9, ce qui reste correct pour un montage et m’a permis d’avoir l’</w:t>
      </w:r>
      <w:proofErr w:type="spellStart"/>
      <w:r>
        <w:rPr>
          <w:rFonts w:ascii="LMRoman10-Regular" w:hAnsi="LMRoman10-Regular" w:cs="LMRoman10-Regular"/>
          <w:color w:val="000000"/>
          <w:sz w:val="20"/>
          <w:szCs w:val="20"/>
        </w:rPr>
        <w:t>agreg</w:t>
      </w:r>
      <w:proofErr w:type="spellEnd"/>
      <w:r>
        <w:rPr>
          <w:rFonts w:ascii="LMRoman10-Regular" w:hAnsi="LMRoman10-Regular" w:cs="LMRoman10-Regular"/>
          <w:color w:val="000000"/>
          <w:sz w:val="20"/>
          <w:szCs w:val="20"/>
        </w:rPr>
        <w:t>. Surtout ne vous auto-évaluez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pas, on n’y pense pas assez mais nous préparons l’agrégation dans les meilleures conditions et on place la barre</w:t>
      </w:r>
      <w:r>
        <w:rPr>
          <w:rFonts w:ascii="LMRoman10-Regular" w:hAnsi="LMRoman10-Regular" w:cs="LMRoman10-Regular"/>
          <w:color w:val="000000"/>
          <w:sz w:val="20"/>
          <w:szCs w:val="20"/>
        </w:rPr>
        <w:t xml:space="preserve"> </w:t>
      </w:r>
      <w:r>
        <w:rPr>
          <w:rFonts w:ascii="LMRoman10-Regular" w:hAnsi="LMRoman10-Regular" w:cs="LMRoman10-Regular"/>
          <w:color w:val="000000"/>
          <w:sz w:val="20"/>
          <w:szCs w:val="20"/>
        </w:rPr>
        <w:t>très haute tout au long de l’année, le jour J c’est différent</w:t>
      </w:r>
      <w:r>
        <w:rPr>
          <w:rFonts w:ascii="LMRoman10-Regular" w:hAnsi="LMRoman10-Regular" w:cs="LMRoman10-Regular"/>
          <w:color w:val="000000"/>
          <w:sz w:val="20"/>
          <w:szCs w:val="20"/>
        </w:rPr>
        <w:t>.</w:t>
      </w:r>
    </w:p>
    <w:sectPr w:rsidR="00C23E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Sans10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Symbols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EBC"/>
    <w:rsid w:val="001407FF"/>
    <w:rsid w:val="00C23E23"/>
    <w:rsid w:val="00CD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995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LNCMI CNRS</Company>
  <LinksUpToDate>false</LinksUpToDate>
  <CharactersWithSpaces>6456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renaud mathevet</dc:creator>
  <cp:lastModifiedBy>renaud mathevet</cp:lastModifiedBy>
  <cp:revision>1</cp:revision>
  <dcterms:created xsi:type="dcterms:W3CDTF">2020-03-30T12:34:00Z</dcterms:created>
  <dcterms:modified xsi:type="dcterms:W3CDTF">2020-03-30T13:14:00Z</dcterms:modified>
</cp:coreProperties>
</file>