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CE2626"/>
          <w:sz w:val="29"/>
          <w:szCs w:val="29"/>
        </w:rPr>
      </w:pPr>
      <w:r>
        <w:rPr>
          <w:rFonts w:ascii="LMSans10-Bold" w:hAnsi="LMSans10-Bold" w:cs="LMSans10-Bold"/>
          <w:b/>
          <w:bCs/>
          <w:color w:val="CE2626"/>
          <w:sz w:val="29"/>
          <w:szCs w:val="29"/>
        </w:rPr>
        <w:t>MP10 : Spectrométrie optique.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6648C"/>
          <w:sz w:val="24"/>
          <w:szCs w:val="24"/>
        </w:rPr>
      </w:pPr>
      <w:r>
        <w:rPr>
          <w:rFonts w:ascii="LMSans10-Bold" w:hAnsi="LMSans10-Bold" w:cs="LMSans10-Bold"/>
          <w:b/>
          <w:bCs/>
          <w:color w:val="36648C"/>
          <w:sz w:val="24"/>
          <w:szCs w:val="24"/>
        </w:rPr>
        <w:t>Commentaires extraits des rapports de jury</w:t>
      </w:r>
    </w:p>
    <w:p w:rsidR="00435763" w:rsidRDefault="00435763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6648C"/>
          <w:sz w:val="24"/>
          <w:szCs w:val="24"/>
        </w:rPr>
      </w:pPr>
    </w:p>
    <w:p w:rsidR="00435763" w:rsidRDefault="00435763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6648C"/>
          <w:sz w:val="24"/>
          <w:szCs w:val="24"/>
        </w:rPr>
      </w:pPr>
      <w:r w:rsidRPr="00435763">
        <w:rPr>
          <w:rFonts w:ascii="LMSans10-Bold" w:hAnsi="LMSans10-Bold" w:cs="LMSans10-Bold"/>
          <w:b/>
          <w:bCs/>
          <w:sz w:val="20"/>
          <w:szCs w:val="24"/>
        </w:rPr>
        <w:t>2017</w:t>
      </w:r>
      <w:r>
        <w:rPr>
          <w:rFonts w:ascii="LMSans10-Bold" w:hAnsi="LMSans10-Bold" w:cs="LMSans10-Bold"/>
          <w:b/>
          <w:bCs/>
          <w:color w:val="36648C"/>
          <w:sz w:val="24"/>
          <w:szCs w:val="24"/>
        </w:rPr>
        <w:t xml:space="preserve"> : </w:t>
      </w:r>
      <w:r>
        <w:rPr>
          <w:rFonts w:ascii="Arial" w:hAnsi="Arial" w:cs="Arial"/>
          <w:sz w:val="20"/>
          <w:szCs w:val="20"/>
        </w:rPr>
        <w:t xml:space="preserve">Quel que soit l’appareil de mesure utilisé, notamment le spectromètre à </w:t>
      </w:r>
      <w:proofErr w:type="spellStart"/>
      <w:r>
        <w:rPr>
          <w:rFonts w:ascii="Arial" w:hAnsi="Arial" w:cs="Arial"/>
          <w:sz w:val="20"/>
          <w:szCs w:val="20"/>
        </w:rPr>
        <w:t>entrée</w:t>
      </w:r>
      <w:proofErr w:type="spellEnd"/>
      <w:r>
        <w:rPr>
          <w:rFonts w:ascii="Arial" w:hAnsi="Arial" w:cs="Arial"/>
          <w:sz w:val="20"/>
          <w:szCs w:val="20"/>
        </w:rPr>
        <w:t xml:space="preserve"> fibrée interfacé avec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l’ordinateur, son principe de fonctionnement et ses caractéristiques d’utilisation, en particulier son pouvoir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résolution, doivent être connus. S’il souhaite utiliser un réseau en incidence normale, le candidat doit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s’assurer de la réalisation expérimentale correcte de cette incidence particulière.</w:t>
      </w:r>
      <w:bookmarkStart w:id="0" w:name="_GoBack"/>
      <w:bookmarkEnd w:id="0"/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2014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: Quel que soit l’appareil de mesure utilisé, notamment le spectromètre à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entrée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fibrée interfacé avec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l’ordinateur, son principe de fonctionnement et ses caractéristiques d’utilisation, en particulier son pouvoir de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résolution, doivent être connus. Dans le cas où un candidat souhaite utiliser un spectromètre qu’il a réalisé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lui-même, il est rappelé que la mesure des angles au goniomètre est bien plus précise que le simple pointé avec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une règle sur un écran ; en outre, s’il souhaite utiliser un réseau en incidence normale, le candidat doit s’assurer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 la réalisation expérimentale correcte de cette incidence particulière.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2010 à 2013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: Quel que soit l’appareil de mesure utilisé, notamment le spectromètre à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entrée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fibrée interfacé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avec l’ordinateur, son principe et sa manipulation doivent être connus. Le prisme à vision directe doit être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réservé aux observations qualitatives. Enfin, le pouvoir de résolution des appareils doit être connu et leurs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limitations discutées. Dans le cas où un candidat souhaite utiliser un spectromètre qu’il a réalisé lui-même, il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est rappelé que la mesure des angles au goniomètre est bien plus précise que le simple pointé avec une règle sur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un écran.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2008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La spectrométrie par transformée de Fourier, souvent réalisée de façon semi-quantitative sur les raies du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mercure ou du sodium, se prêtre à un enregistrement numérique, qui sans être indispensable, est bien plus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démonstratif et permet des mesures sensiblement plus précises. Si le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coeur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du sujet est la mesure de longueurs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d’onde, les phénomènes qui affectent la résolution des spectromètres ne doivent pas être ignorés.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2007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: La mesure de longueurs d’onde est le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coeur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du sujet mais il faut aborder la notion de résolution des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appareils de mesure et les phénomènes responsables de sa limitation.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2005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La notion de résolution est importante et doit être abordée. Il en est de même de l’influence de la largeur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 la fente d’entrée. L’usage des spectromètres informatisés à fibre ne doit pas être exclusif.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2002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L’utilisation de spectroscopes intégrés à un ordinateur et illuminés par fibre optique permet de réaliser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rapidement des spectres convaincants mais ne nécessitant pas de pouvoir de résolution élevé. La connaissance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du fonctionnement et des facteurs qui limitent la résolution de ce système « boîte noire » est indispensable. Le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jury apprécie aussi l’utilisation de spectromètres à fentes traditionnels lorsqu’un grand pouvoir de résolution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est nécessaire ou lorsqu’on cherche à illustrer quantitativement le rôle des fentes d’entrée et de sortie sur les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performances des spectromètres.</w:t>
      </w:r>
    </w:p>
    <w:p w:rsidR="002B0982" w:rsidRDefault="002B0982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Italic" w:hAnsi="LMRoman10-Italic" w:cs="LMRoman10-Italic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Jusqu’en 1999, le titre était :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Spectrométrie optique ; résolution.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1998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Dans les cas usuels d’utilisation des spectromètres, la largeur de la fente d’entrée, celle de la fente de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sortie ainsi que la diffraction par l’élément dispersif ont une grande importance dans le pouvoir de résolution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apparent ; un des objectifs du montage est de montrer le rôle respectif de ces paramètres.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1994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Ce montage est en général très mal traité. Le fait de montrer la dispersion par un prisme est bien entendu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loin d’être suffisant. Rappelons que les prismes et les réseaux doivent être utilisés en lumière parallèle. Le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rôle des fentes d’entrée et de sortie doivent être pris en compte dans l’analyse du spectroscope. La notion de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fonction d’appareil est bien souvent complètement ignorée.</w:t>
      </w:r>
    </w:p>
    <w:p w:rsidR="002B0982" w:rsidRDefault="002B0982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6648C"/>
          <w:sz w:val="24"/>
          <w:szCs w:val="24"/>
        </w:rPr>
      </w:pPr>
      <w:r>
        <w:rPr>
          <w:rFonts w:ascii="LMSans10-Bold" w:hAnsi="LMSans10-Bold" w:cs="LMSans10-Bold"/>
          <w:b/>
          <w:bCs/>
          <w:color w:val="36648C"/>
          <w:sz w:val="24"/>
          <w:szCs w:val="24"/>
        </w:rPr>
        <w:t>Retour des années précédentes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Oblique" w:hAnsi="LMSans10-BoldOblique" w:cs="LMSans10-BoldOblique"/>
          <w:b/>
          <w:bCs/>
          <w:i/>
          <w:iCs/>
          <w:color w:val="000000"/>
          <w:sz w:val="20"/>
          <w:szCs w:val="20"/>
        </w:rPr>
      </w:pP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 xml:space="preserve">Agrégation 2008 - Note : 09/20 - choix avec </w:t>
      </w:r>
      <w:r>
        <w:rPr>
          <w:rFonts w:ascii="LMSans10-BoldOblique" w:hAnsi="LMSans10-BoldOblique" w:cs="LMSans10-BoldOblique"/>
          <w:b/>
          <w:bCs/>
          <w:i/>
          <w:iCs/>
          <w:color w:val="000000"/>
          <w:sz w:val="20"/>
          <w:szCs w:val="20"/>
        </w:rPr>
        <w:t>Transitions de phase.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Questions et commentaires du jury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origine de la largeur des raies ? Comment améliorer l’incertitude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attachée à la mesure faite avec le réseau ? Comment améliorer l’incertitude attachée à la mesure faite avec le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Michelson ?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Commentaires personnels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j’ai choisi d’utiliser un réseau pour la détermination relative et absolue de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longueur d’onde, puis un tube de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Plucker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avec un spectromètre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Ulice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et finalement la 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>d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étermination des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longeurs</w:t>
      </w:r>
      <w:proofErr w:type="spellEnd"/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d’onde des 2 raies du sodium avec un Michelson. Sur l’expérience du réseau, il m’a été reproché d’avoir bougé un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peu l’écran entre l’expérience d’étalonnage, et la mesure de la longueur pour la raie en direct, c’est normal. Il faut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étalonner le spectromètre avec des raies connues, d’après un des correcteurs, et ne pas croire a priori les valeurs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indiquées par le programme (sortir la notice). On m’a reproché de n’avoir pas réglé le Michelson au mieux, je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me demande comment j’aurais pu mieux faire, pour augmenter le contraste, puisque justement, on cherche des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zones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 contraste nul. Le parallélisme des miroirs était à mon avis bon. Il faut parler de la résolution. Même avec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des manips propres (j’ai demandé au jury, celle du réseau était propre, et celle du Michelson bonne) le moindre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écart dans les mesures, ou des incertitudes qui ont un mauvais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odg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 coûtent cher. Même avec un bon réglage de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hauteur, une diminution des aberrations au mieux, il faut encore exploiter correctement les manips, ce qui n’est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pas toujours aisé en direct.</w:t>
      </w:r>
    </w:p>
    <w:p w:rsidR="002B0982" w:rsidRDefault="002B0982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Oblique" w:hAnsi="LMSans10-BoldOblique" w:cs="LMSans10-BoldOblique"/>
          <w:b/>
          <w:bCs/>
          <w:i/>
          <w:iCs/>
          <w:color w:val="000000"/>
          <w:sz w:val="20"/>
          <w:szCs w:val="20"/>
        </w:rPr>
      </w:pP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 xml:space="preserve">Agrégation 2012 - Note : 15/20 - choix avec </w:t>
      </w:r>
      <w:r>
        <w:rPr>
          <w:rFonts w:ascii="LMSans10-BoldOblique" w:hAnsi="LMSans10-BoldOblique" w:cs="LMSans10-BoldOblique"/>
          <w:b/>
          <w:bCs/>
          <w:i/>
          <w:iCs/>
          <w:color w:val="000000"/>
          <w:sz w:val="20"/>
          <w:szCs w:val="20"/>
        </w:rPr>
        <w:t>Transitions de phase.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Questions et commentaires du jury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plein de questions sur le montage avec le réseau : comment avoir une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belle image, résolution, facteurs influant sur la résolution (fente, grain du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recepteur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 nombre de traits, géométrie)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tout ça pour me faire dire au bout de 15 minutes la diffraction. Décrire le montage du Michelson : pourquoi on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projette comme ci et pourquoi on condense comme ça.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000000"/>
          <w:sz w:val="20"/>
          <w:szCs w:val="20"/>
        </w:rPr>
      </w:pP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>Agrégation 2014 - Note : 15/20</w:t>
      </w:r>
    </w:p>
    <w:p w:rsidR="002B0982" w:rsidRDefault="002B0982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000000"/>
          <w:sz w:val="20"/>
          <w:szCs w:val="20"/>
        </w:rPr>
      </w:pP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Réseau particulier ? (blasé </w:t>
      </w:r>
      <w:r>
        <w:rPr>
          <w:rFonts w:ascii="LMRoman7-Regular" w:hAnsi="LMRoman7-Regular" w:cs="LMRoman7-Regular"/>
          <w:color w:val="8C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>) Principe ? Résolution ? Comment on trouve _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? Et sur la manip de principe ? Pas la 4e raie de Balmer, méthodes pour l’avoir ? On moyenne, pourquoi ?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Spectro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commercial : pourquoi miroirs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et pas lentilles, idem pour réseau ? — Protocole de réglage du FP?</w:t>
      </w:r>
    </w:p>
    <w:p w:rsidR="00E10755" w:rsidRDefault="00E10755" w:rsidP="0015633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Spectra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suite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buggait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quand je mettais les deux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spectro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en même temps (pas la version habituelle), quand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j’ai voulu passer sur le 4000 pour montrer les raies isotopiques, il a définitivement planté J’avais eu un problème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avec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caliens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et les arbres du moteur et du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michelson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n’étaient pas alignés donc je ne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pouvait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pas faire un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interférogramme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automatique et je n’ai pas eu le temps de faire un contraste local, j’ai voulu leur montrer le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principe mais en échangeant la sodium avec la mercure j’ai dû toucher quelque chose parce que le Michelson s’est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déréglé, je n’ai pas retrouvé les franges facilement et je ne savais plus où était mon papier avec la position du</w:t>
      </w:r>
      <w:r w:rsidR="002B0982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contact optique donc je suis passé à la suite J’avais divisé par </w:t>
      </w:r>
      <w:proofErr w:type="spellStart"/>
      <w:r>
        <w:rPr>
          <w:rFonts w:ascii="LMMathSymbols10-Regular" w:hAnsi="LMMathSymbols10-Regular" w:cs="LMMathSymbols10-Regular"/>
          <w:color w:val="000000"/>
          <w:sz w:val="20"/>
          <w:szCs w:val="20"/>
        </w:rPr>
        <w:t>p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et non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N </w:t>
      </w:r>
      <w:r>
        <w:rPr>
          <w:rFonts w:ascii="LMRoman10-Regular" w:hAnsi="LMRoman10-Regular" w:cs="LMRoman10-Regular"/>
          <w:color w:val="000000"/>
          <w:sz w:val="20"/>
          <w:szCs w:val="20"/>
        </w:rPr>
        <w:t>pour l’incertitude sur le doublet</w:t>
      </w:r>
      <w:r w:rsidR="00156336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du sodium et j’ai mis un moment à comprendre quand ils sont revenus dessus pour les questions. Le FP s’était</w:t>
      </w:r>
      <w:r w:rsidR="00156336"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déréglé aussi mais je l’ai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reréglé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devant eux en 3 secondes, directement sur l’écran ... c’est clairement ce qui a</w:t>
      </w:r>
    </w:p>
    <w:p w:rsidR="00E554E0" w:rsidRDefault="00E10755" w:rsidP="00156336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sauvé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mon montage !</w:t>
      </w:r>
    </w:p>
    <w:sectPr w:rsidR="00E5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55"/>
    <w:rsid w:val="00156336"/>
    <w:rsid w:val="002B0982"/>
    <w:rsid w:val="00435763"/>
    <w:rsid w:val="00E10755"/>
    <w:rsid w:val="00E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1115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LNCMI CNRS</Company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 mathevet</dc:creator>
  <cp:lastModifiedBy>renaud mathevet</cp:lastModifiedBy>
  <cp:revision>3</cp:revision>
  <dcterms:created xsi:type="dcterms:W3CDTF">2020-03-30T10:08:00Z</dcterms:created>
  <dcterms:modified xsi:type="dcterms:W3CDTF">2020-03-30T10:22:00Z</dcterms:modified>
</cp:coreProperties>
</file>