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CE2626"/>
          <w:sz w:val="34"/>
          <w:szCs w:val="34"/>
        </w:rPr>
      </w:pPr>
      <w:r>
        <w:rPr>
          <w:rFonts w:ascii="LMSans10-Bold" w:hAnsi="LMSans10-Bold" w:cs="LMSans10-Bold"/>
          <w:b/>
          <w:bCs/>
          <w:color w:val="CE2626"/>
          <w:sz w:val="34"/>
          <w:szCs w:val="34"/>
        </w:rPr>
        <w:t>MP09 : Spectrométrie optique.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9"/>
          <w:szCs w:val="29"/>
        </w:rPr>
      </w:pPr>
      <w:r>
        <w:rPr>
          <w:rFonts w:ascii="LMMathSymbols10-Regular" w:hAnsi="LMMathSymbols10-Regular" w:cs="LMMathSymbols10-Regular"/>
          <w:color w:val="000000"/>
          <w:sz w:val="29"/>
          <w:szCs w:val="29"/>
        </w:rPr>
        <w:t xml:space="preserve">| </w:t>
      </w:r>
      <w:r>
        <w:rPr>
          <w:rFonts w:ascii="LMSans10-Bold" w:hAnsi="LMSans10-Bold" w:cs="LMSans10-Bold"/>
          <w:b/>
          <w:bCs/>
          <w:color w:val="000000"/>
          <w:sz w:val="29"/>
          <w:szCs w:val="29"/>
        </w:rPr>
        <w:t>Bibliographie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CE2626"/>
          <w:sz w:val="20"/>
          <w:szCs w:val="20"/>
        </w:rPr>
        <w:t xml:space="preserve">[46]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Expériences d’optique à l’agrégation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, R.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Duffait</w:t>
      </w:r>
      <w:proofErr w:type="spellEnd"/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CE2626"/>
          <w:sz w:val="20"/>
          <w:szCs w:val="20"/>
        </w:rPr>
        <w:t xml:space="preserve">[136]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Optique expérimentale</w:t>
      </w:r>
      <w:r>
        <w:rPr>
          <w:rFonts w:ascii="LMRoman10-Regular" w:hAnsi="LMRoman10-Regular" w:cs="LMRoman10-Regular"/>
          <w:color w:val="000000"/>
          <w:sz w:val="20"/>
          <w:szCs w:val="20"/>
        </w:rPr>
        <w:t>, Sextant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9"/>
          <w:szCs w:val="29"/>
        </w:rPr>
      </w:pPr>
      <w:r>
        <w:rPr>
          <w:rFonts w:ascii="LMMathSymbols10-Regular" w:hAnsi="LMMathSymbols10-Regular" w:cs="LMMathSymbols10-Regular"/>
          <w:color w:val="000000"/>
          <w:sz w:val="29"/>
          <w:szCs w:val="29"/>
        </w:rPr>
        <w:t xml:space="preserve">| </w:t>
      </w:r>
      <w:r>
        <w:rPr>
          <w:rFonts w:ascii="LMSans10-Bold" w:hAnsi="LMSans10-Bold" w:cs="LMSans10-Bold"/>
          <w:b/>
          <w:bCs/>
          <w:color w:val="000000"/>
          <w:sz w:val="29"/>
          <w:szCs w:val="29"/>
        </w:rPr>
        <w:t>Idées à illustrer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Principe de la spectrométrie : séparation du rayonnement en ses longueurs d’ondes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Problématique de la résolution du spectromètre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9"/>
          <w:szCs w:val="29"/>
        </w:rPr>
      </w:pPr>
      <w:r>
        <w:rPr>
          <w:rFonts w:ascii="LMMathSymbols10-Regular" w:hAnsi="LMMathSymbols10-Regular" w:cs="LMMathSymbols10-Regular"/>
          <w:color w:val="000000"/>
          <w:sz w:val="29"/>
          <w:szCs w:val="29"/>
        </w:rPr>
        <w:t xml:space="preserve">| </w:t>
      </w:r>
      <w:r>
        <w:rPr>
          <w:rFonts w:ascii="LMSans10-Bold" w:hAnsi="LMSans10-Bold" w:cs="LMSans10-Bold"/>
          <w:b/>
          <w:bCs/>
          <w:color w:val="000000"/>
          <w:sz w:val="29"/>
          <w:szCs w:val="29"/>
        </w:rPr>
        <w:t>Plan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104E8C"/>
          <w:sz w:val="24"/>
          <w:szCs w:val="24"/>
        </w:rPr>
      </w:pPr>
      <w:r>
        <w:rPr>
          <w:rFonts w:ascii="LMSans10-Bold" w:hAnsi="LMSans10-Bold" w:cs="LMSans10-Bold"/>
          <w:b/>
          <w:bCs/>
          <w:color w:val="104E8C"/>
          <w:sz w:val="24"/>
          <w:szCs w:val="24"/>
        </w:rPr>
        <w:t>Introduction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Reprendre celle du Sextant. Plan du montage : du moins précis au plus précis.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104E8C"/>
          <w:sz w:val="24"/>
          <w:szCs w:val="24"/>
        </w:rPr>
      </w:pPr>
      <w:r>
        <w:rPr>
          <w:rFonts w:ascii="LMSans10-Bold" w:hAnsi="LMSans10-Bold" w:cs="LMSans10-Bold"/>
          <w:b/>
          <w:bCs/>
          <w:color w:val="104E8C"/>
          <w:sz w:val="24"/>
          <w:szCs w:val="24"/>
        </w:rPr>
        <w:t>1. Spectrométrie à réseau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CE2626"/>
          <w:sz w:val="20"/>
          <w:szCs w:val="20"/>
        </w:rPr>
        <w:t>[136</w:t>
      </w:r>
      <w:proofErr w:type="gramStart"/>
      <w:r>
        <w:rPr>
          <w:rFonts w:ascii="LMRoman10-Bold" w:hAnsi="LMRoman10-Bold" w:cs="LMRoman10-Bold"/>
          <w:b/>
          <w:bCs/>
          <w:color w:val="CE2626"/>
          <w:sz w:val="20"/>
          <w:szCs w:val="20"/>
        </w:rPr>
        <w:t xml:space="preserve">] </w:t>
      </w:r>
      <w:r>
        <w:rPr>
          <w:rFonts w:ascii="Dingbats" w:hAnsi="Dingbats" w:cs="Dingbats"/>
          <w:color w:val="2E8C57"/>
          <w:sz w:val="20"/>
          <w:szCs w:val="20"/>
        </w:rPr>
        <w:t>,</w:t>
      </w:r>
      <w:proofErr w:type="gramEnd"/>
      <w:r>
        <w:rPr>
          <w:rFonts w:ascii="Dingbats" w:hAnsi="Dingbats" w:cs="Dingbats"/>
          <w:color w:val="2E8C57"/>
          <w:sz w:val="20"/>
          <w:szCs w:val="20"/>
        </w:rPr>
        <w:t xml:space="preserve"> </w:t>
      </w:r>
      <w:r>
        <w:rPr>
          <w:rFonts w:ascii="LMSans10-Bold" w:hAnsi="LMSans10-Bold" w:cs="LMSans10-Bold"/>
          <w:b/>
          <w:bCs/>
          <w:color w:val="2E8C57"/>
          <w:sz w:val="20"/>
          <w:szCs w:val="20"/>
        </w:rPr>
        <w:t xml:space="preserve">Manip : </w:t>
      </w:r>
      <w:r>
        <w:rPr>
          <w:rFonts w:ascii="LMRoman10-Regular" w:hAnsi="LMRoman10-Regular" w:cs="LMRoman10-Regular"/>
          <w:color w:val="000000"/>
          <w:sz w:val="20"/>
          <w:szCs w:val="20"/>
        </w:rPr>
        <w:t>discuter la résolution du réseau. Influence de la fente source, du nombre de traits éclairés, du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pas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du réseau, de l’ordre (changer de réseau, ouvrir la fente, . . .).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Dingbats" w:hAnsi="Dingbats" w:cs="Dingbats"/>
          <w:color w:val="2E8C57"/>
          <w:sz w:val="20"/>
          <w:szCs w:val="20"/>
        </w:rPr>
        <w:t xml:space="preserve">, </w:t>
      </w:r>
      <w:r>
        <w:rPr>
          <w:rFonts w:ascii="LMSans10-Bold" w:hAnsi="LMSans10-Bold" w:cs="LMSans10-Bold"/>
          <w:b/>
          <w:bCs/>
          <w:color w:val="2E8C57"/>
          <w:sz w:val="20"/>
          <w:szCs w:val="20"/>
        </w:rPr>
        <w:t xml:space="preserve">Manip :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étalonnage : lampe Hg-Cd (valeurs à prendre dans </w:t>
      </w:r>
      <w:r>
        <w:rPr>
          <w:rFonts w:ascii="LMRoman10-Bold" w:hAnsi="LMRoman10-Bold" w:cs="LMRoman10-Bold"/>
          <w:b/>
          <w:bCs/>
          <w:color w:val="CE2626"/>
          <w:sz w:val="20"/>
          <w:szCs w:val="20"/>
        </w:rPr>
        <w:t>[46]</w:t>
      </w:r>
      <w:r>
        <w:rPr>
          <w:rFonts w:ascii="LMRoman10-Regular" w:hAnsi="LMRoman10-Regular" w:cs="LMRoman10-Regular"/>
          <w:color w:val="000000"/>
          <w:sz w:val="20"/>
          <w:szCs w:val="20"/>
        </w:rPr>
        <w:t>). Interpolation linéaire, discuter la validité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de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l’approximation.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Dingbats" w:hAnsi="Dingbats" w:cs="Dingbats"/>
          <w:color w:val="2E8C57"/>
          <w:sz w:val="20"/>
          <w:szCs w:val="20"/>
        </w:rPr>
        <w:t xml:space="preserve">, </w:t>
      </w:r>
      <w:r>
        <w:rPr>
          <w:rFonts w:ascii="LMSans10-Bold" w:hAnsi="LMSans10-Bold" w:cs="LMSans10-Bold"/>
          <w:b/>
          <w:bCs/>
          <w:color w:val="2E8C57"/>
          <w:sz w:val="20"/>
          <w:szCs w:val="20"/>
        </w:rPr>
        <w:t xml:space="preserve">Manip : </w:t>
      </w:r>
      <w:r>
        <w:rPr>
          <w:rFonts w:ascii="LMRoman10-Regular" w:hAnsi="LMRoman10-Regular" w:cs="LMRoman10-Regular"/>
          <w:color w:val="000000"/>
          <w:sz w:val="20"/>
          <w:szCs w:val="20"/>
        </w:rPr>
        <w:t>application au spectre du sodium, mesurer le 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du doublet, qu’on peut parfois séparer avec un bon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réseau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CE2626"/>
          <w:sz w:val="20"/>
          <w:szCs w:val="20"/>
        </w:rPr>
        <w:t>[136</w:t>
      </w:r>
      <w:proofErr w:type="gramStart"/>
      <w:r>
        <w:rPr>
          <w:rFonts w:ascii="LMRoman10-Bold" w:hAnsi="LMRoman10-Bold" w:cs="LMRoman10-Bold"/>
          <w:b/>
          <w:bCs/>
          <w:color w:val="CE2626"/>
          <w:sz w:val="20"/>
          <w:szCs w:val="20"/>
        </w:rPr>
        <w:t xml:space="preserve">] </w:t>
      </w:r>
      <w:r>
        <w:rPr>
          <w:rFonts w:ascii="Dingbats" w:hAnsi="Dingbats" w:cs="Dingbats"/>
          <w:color w:val="2E8C57"/>
          <w:sz w:val="20"/>
          <w:szCs w:val="20"/>
        </w:rPr>
        <w:t>,</w:t>
      </w:r>
      <w:proofErr w:type="gramEnd"/>
      <w:r>
        <w:rPr>
          <w:rFonts w:ascii="Dingbats" w:hAnsi="Dingbats" w:cs="Dingbats"/>
          <w:color w:val="2E8C57"/>
          <w:sz w:val="20"/>
          <w:szCs w:val="20"/>
        </w:rPr>
        <w:t xml:space="preserve"> </w:t>
      </w:r>
      <w:r>
        <w:rPr>
          <w:rFonts w:ascii="LMSans10-Bold" w:hAnsi="LMSans10-Bold" w:cs="LMSans10-Bold"/>
          <w:b/>
          <w:bCs/>
          <w:color w:val="2E8C57"/>
          <w:sz w:val="20"/>
          <w:szCs w:val="20"/>
        </w:rPr>
        <w:t xml:space="preserve">Manip :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application au monochromateur à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reseau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. Utiliser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Spid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-HR + lampe à H. Mesurer la constante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de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Rydberg à partir de la série de Balmer, en évitant de se tromper dans les ordres de la série de Balmer. Il se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peut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qu’il faille étalonner le spectromètre, auquel cas reprendre la lampe Hg-Cd.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104E8C"/>
          <w:sz w:val="24"/>
          <w:szCs w:val="24"/>
        </w:rPr>
      </w:pPr>
      <w:r>
        <w:rPr>
          <w:rFonts w:ascii="LMSans10-Bold" w:hAnsi="LMSans10-Bold" w:cs="LMSans10-Bold"/>
          <w:b/>
          <w:bCs/>
          <w:color w:val="104E8C"/>
          <w:sz w:val="24"/>
          <w:szCs w:val="24"/>
        </w:rPr>
        <w:t>2. Spectrométrie interférentielle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Dingbats" w:hAnsi="Dingbats" w:cs="Dingbats"/>
          <w:color w:val="2E8C57"/>
          <w:sz w:val="20"/>
          <w:szCs w:val="20"/>
        </w:rPr>
        <w:t xml:space="preserve">, </w:t>
      </w:r>
      <w:r>
        <w:rPr>
          <w:rFonts w:ascii="LMSans10-Bold" w:hAnsi="LMSans10-Bold" w:cs="LMSans10-Bold"/>
          <w:b/>
          <w:bCs/>
          <w:color w:val="2E8C57"/>
          <w:sz w:val="20"/>
          <w:szCs w:val="20"/>
        </w:rPr>
        <w:t xml:space="preserve">Manip : </w:t>
      </w:r>
      <w:r>
        <w:rPr>
          <w:rFonts w:ascii="LMRoman10-Regular" w:hAnsi="LMRoman10-Regular" w:cs="LMRoman10-Regular"/>
          <w:color w:val="000000"/>
          <w:sz w:val="20"/>
          <w:szCs w:val="20"/>
        </w:rPr>
        <w:t>Michelson en lame d’air, lampe au sodium dont on veut séparer le doublet. Utilisation du moteur.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Utiliser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Caliens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en mode Michelson. En cas de caprice du moteur, on peut toujours le faire à la main (mais c’est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moins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bien).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Discuter la résolution de la TF en fonction du temps d’acquisition. Avantage par rapport au réseau : on obtient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la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forme du spectre avec autant de précision que l’on veut, dans le principe il suffit d’être patient.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104E8C"/>
          <w:sz w:val="24"/>
          <w:szCs w:val="24"/>
        </w:rPr>
      </w:pPr>
      <w:r>
        <w:rPr>
          <w:rFonts w:ascii="LMSans10-Bold" w:hAnsi="LMSans10-Bold" w:cs="LMSans10-Bold"/>
          <w:b/>
          <w:bCs/>
          <w:color w:val="104E8C"/>
          <w:sz w:val="24"/>
          <w:szCs w:val="24"/>
        </w:rPr>
        <w:t xml:space="preserve">3. Cavité </w:t>
      </w:r>
      <w:proofErr w:type="spellStart"/>
      <w:r>
        <w:rPr>
          <w:rFonts w:ascii="LMSans10-Bold" w:hAnsi="LMSans10-Bold" w:cs="LMSans10-Bold"/>
          <w:b/>
          <w:bCs/>
          <w:color w:val="104E8C"/>
          <w:sz w:val="24"/>
          <w:szCs w:val="24"/>
        </w:rPr>
        <w:t>confocale</w:t>
      </w:r>
      <w:proofErr w:type="spellEnd"/>
      <w:r>
        <w:rPr>
          <w:rFonts w:ascii="LMSans10-Bold" w:hAnsi="LMSans10-Bold" w:cs="LMSans10-Bold"/>
          <w:b/>
          <w:bCs/>
          <w:color w:val="104E8C"/>
          <w:sz w:val="24"/>
          <w:szCs w:val="24"/>
        </w:rPr>
        <w:t xml:space="preserve"> Fabry-Pérot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Dingbats" w:hAnsi="Dingbats" w:cs="Dingbats"/>
          <w:color w:val="2E8C57"/>
          <w:sz w:val="20"/>
          <w:szCs w:val="20"/>
        </w:rPr>
        <w:t xml:space="preserve">, </w:t>
      </w:r>
      <w:r>
        <w:rPr>
          <w:rFonts w:ascii="LMSans10-Bold" w:hAnsi="LMSans10-Bold" w:cs="LMSans10-Bold"/>
          <w:b/>
          <w:bCs/>
          <w:color w:val="2E8C57"/>
          <w:sz w:val="20"/>
          <w:szCs w:val="20"/>
        </w:rPr>
        <w:t xml:space="preserve">Manip : </w:t>
      </w:r>
      <w:r>
        <w:rPr>
          <w:rFonts w:ascii="LMRoman10-Regular" w:hAnsi="LMRoman10-Regular" w:cs="LMRoman10-Regular"/>
          <w:color w:val="000000"/>
          <w:sz w:val="20"/>
          <w:szCs w:val="20"/>
        </w:rPr>
        <w:t>modes du laser He-Ne. Discuter de la résolution.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104E8C"/>
          <w:sz w:val="24"/>
          <w:szCs w:val="24"/>
        </w:rPr>
      </w:pPr>
      <w:r>
        <w:rPr>
          <w:rFonts w:ascii="LMSans10-Bold" w:hAnsi="LMSans10-Bold" w:cs="LMSans10-Bold"/>
          <w:b/>
          <w:bCs/>
          <w:color w:val="104E8C"/>
          <w:sz w:val="24"/>
          <w:szCs w:val="24"/>
        </w:rPr>
        <w:t>Conclusion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Caractérise la source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via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l’étude de la lumière. C’est donc plutôt cool, et surtout très utilisé, p.ex.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astro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9"/>
          <w:szCs w:val="29"/>
        </w:rPr>
      </w:pPr>
      <w:r>
        <w:rPr>
          <w:rFonts w:ascii="LMMathSymbols10-Regular" w:hAnsi="LMMathSymbols10-Regular" w:cs="LMMathSymbols10-Regular"/>
          <w:color w:val="000000"/>
          <w:sz w:val="29"/>
          <w:szCs w:val="29"/>
        </w:rPr>
        <w:t xml:space="preserve">| </w:t>
      </w:r>
      <w:r>
        <w:rPr>
          <w:rFonts w:ascii="LMSans10-Bold" w:hAnsi="LMSans10-Bold" w:cs="LMSans10-Bold"/>
          <w:b/>
          <w:bCs/>
          <w:color w:val="000000"/>
          <w:sz w:val="29"/>
          <w:szCs w:val="29"/>
        </w:rPr>
        <w:t>Remarques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.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Si on déplace le réseau sans faire exprès, on gagnera un ticket gratuit pour le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re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-étalonner.</w:t>
      </w:r>
    </w:p>
    <w:p w:rsidR="00BB2F19" w:rsidRDefault="00BB2F19" w:rsidP="00BB2F1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. </w:t>
      </w:r>
      <w:r>
        <w:rPr>
          <w:rFonts w:ascii="LMRoman10-Regular" w:hAnsi="LMRoman10-Regular" w:cs="LMRoman10-Regular"/>
          <w:color w:val="000000"/>
          <w:sz w:val="20"/>
          <w:szCs w:val="20"/>
        </w:rPr>
        <w:t>Le montage est orienté métrologie : il importe de bien discuter des incertitudes et de la précision des différents</w:t>
      </w:r>
    </w:p>
    <w:p w:rsidR="0083227E" w:rsidRDefault="00BB2F19" w:rsidP="00BB2F19"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spectromètres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  <w:bookmarkStart w:id="0" w:name="_GoBack"/>
      <w:bookmarkEnd w:id="0"/>
    </w:p>
    <w:sectPr w:rsidR="00832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gbat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19"/>
    <w:rsid w:val="0083227E"/>
    <w:rsid w:val="00BB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LNCMI CNRS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renaud mathevet</dc:creator>
  <cp:lastModifiedBy>renaud mathevet</cp:lastModifiedBy>
  <cp:revision>1</cp:revision>
  <dcterms:created xsi:type="dcterms:W3CDTF">2020-03-30T09:57:00Z</dcterms:created>
  <dcterms:modified xsi:type="dcterms:W3CDTF">2020-03-30T09:58:00Z</dcterms:modified>
</cp:coreProperties>
</file>