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</w:pPr>
      <w:bookmarkStart w:colFirst="0" w:colLast="0" w:name="_heading=h.7xs2vcq9eepm" w:id="1"/>
      <w:bookmarkEnd w:id="1"/>
      <w:r w:rsidDel="00000000" w:rsidR="00000000" w:rsidRPr="00000000">
        <w:rPr>
          <w:rtl w:val="0"/>
        </w:rPr>
        <w:t xml:space="preserve">Marque a alternativa incorreta.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motor médio deve ser usado para atividades menos potentes.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sensor ultrassônico deve ser usado para ler a distância do robô para um obstáculo.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sensor de toque deve ser usado para ler verde.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sensor de cor pode ser usado para identificar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O que pode ser conectado na porta de entrada A?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Sensor ultrassônico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Sensor de toque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Sensor de cor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Motor médio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4"/>
        </w:numPr>
        <w:spacing w:after="0" w:afterAutospacing="0"/>
        <w:rPr>
          <w:u w:val="none"/>
        </w:rPr>
      </w:pPr>
      <w:bookmarkStart w:colFirst="0" w:colLast="0" w:name="_heading=h.put526kfvwo" w:id="3"/>
      <w:bookmarkEnd w:id="3"/>
      <w:r w:rsidDel="00000000" w:rsidR="00000000" w:rsidRPr="00000000">
        <w:rPr>
          <w:rtl w:val="0"/>
        </w:rPr>
        <w:t xml:space="preserve">Como identificar se o robô está a menos de 10 cm de distância de algo?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52850" cy="876300"/>
            <wp:effectExtent b="0" l="0" r="0" t="0"/>
            <wp:docPr id="8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62375" cy="809625"/>
            <wp:effectExtent b="0" l="0" r="0" t="0"/>
            <wp:docPr id="9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19500" cy="876300"/>
            <wp:effectExtent b="0" l="0" r="0" t="0"/>
            <wp:docPr id="7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0450" cy="923925"/>
            <wp:effectExtent b="0" l="0" r="0" t="0"/>
            <wp:docPr id="9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identificar o verde?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62275" cy="857250"/>
            <wp:effectExtent b="0" l="0" r="0" t="0"/>
            <wp:docPr id="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38450" cy="885825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95625" cy="847725"/>
            <wp:effectExtent b="0" l="0" r="0" t="0"/>
            <wp:docPr id="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62275" cy="1209675"/>
            <wp:effectExtent b="0" l="0" r="0" t="0"/>
            <wp:docPr id="9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formas para identificar um obstáculo?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um sensor de cor e verificar que possui uma cor.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sensor giroscópio para identificar um objeto na frente.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sensor ultrassônico para medir a distância até o objeto.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sensor de toque para detectar um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bookmarkStart w:colFirst="0" w:colLast="0" w:name="_heading=h.7rcrpkld9kun" w:id="4"/>
      <w:bookmarkEnd w:id="4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88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7"/>
    <w:bookmarkEnd w:id="7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8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3" name="image10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5"/>
          <w:bookmarkEnd w:id="5"/>
          <w:r w:rsidDel="00000000" w:rsidR="00000000" w:rsidRPr="00000000">
            <w:rPr>
              <w:rtl w:val="0"/>
            </w:rPr>
            <w:t xml:space="preserve">Questionário e Feedback - Entrega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7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15.png"/><Relationship Id="rId4" Type="http://schemas.openxmlformats.org/officeDocument/2006/relationships/image" Target="media/image1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IzgvO2QbsYZfM6K4oGcVCByqQ==">CgMxLjAyDmguNmh1MG9ndTk2M3JsMg5oLjd4czJ2Y3E5ZWVwbTIOaC5hZnRiN3FjdjFtbzUyDWgucHV0NTI2a2Z2d28yDmguN3JjcnBrbGQ5a3VuMg5oLmZ3cXMzYW11bWI2YzIJaC4xa3N2NHV2MgloLjQ0c2luaW84AHIhMUpDUkRoeVFBazZibzh5SDJIcUg2VEtvdFV3NzBZZGh3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