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Este documento visa avaliar os conhecimentos técnicos adquiridos pelos alunos ao longo do curso, visando aprimorar o conteúdo das aulas. Assim, é importante ressaltar que </w:t>
      </w:r>
      <w:r w:rsidDel="00000000" w:rsidR="00000000" w:rsidRPr="00000000">
        <w:rPr>
          <w:b w:val="1"/>
          <w:rtl w:val="0"/>
        </w:rPr>
        <w:t xml:space="preserve">este questionário é completamente anônimo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6"/>
          <w:szCs w:val="36"/>
          <w:u w:val="none"/>
        </w:rPr>
      </w:pPr>
      <w:bookmarkStart w:colFirst="0" w:colLast="0" w:name="_heading=h.6hu0ogu963rl" w:id="0"/>
      <w:bookmarkEnd w:id="0"/>
      <w:r w:rsidDel="00000000" w:rsidR="00000000" w:rsidRPr="00000000">
        <w:rPr>
          <w:rtl w:val="0"/>
        </w:rPr>
        <w:t xml:space="preserve">Questões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</w:pPr>
      <w:bookmarkStart w:colFirst="0" w:colLast="0" w:name="_heading=h.31cir1ypgfnz" w:id="1"/>
      <w:bookmarkEnd w:id="1"/>
      <w:r w:rsidDel="00000000" w:rsidR="00000000" w:rsidRPr="00000000">
        <w:rPr>
          <w:rtl w:val="0"/>
        </w:rPr>
        <w:t xml:space="preserve">Marque a alternativa correta.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O sensor de cor é utilizado para verificar a distância que o robô está de um objeto.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O sensor ultrassônico deve ser usado para reconhecer cores.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O sensor de cor é utilizado para verificar a cor de uma superfície.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 sensor giroscópio é usado para verificar a distância que o robô está de um objeto.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</w:pPr>
      <w:bookmarkStart w:colFirst="0" w:colLast="0" w:name="_heading=h.9p0pc4y4de52" w:id="2"/>
      <w:bookmarkEnd w:id="2"/>
      <w:r w:rsidDel="00000000" w:rsidR="00000000" w:rsidRPr="00000000">
        <w:rPr>
          <w:rtl w:val="0"/>
        </w:rPr>
        <w:t xml:space="preserve">Onde deve ser conectado o motor?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Porta de entrada 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Porta de saída 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Porta de saída 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Porta de entrada 4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bloco utilizar para fazer o robô virar exatamente o ângulo desejado?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000250" cy="590550"/>
            <wp:effectExtent b="0" l="0" r="0" t="0"/>
            <wp:docPr id="8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71900" cy="552450"/>
            <wp:effectExtent b="0" l="0" r="0" t="0"/>
            <wp:docPr id="7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305300" cy="514350"/>
            <wp:effectExtent b="0" l="0" r="0" t="0"/>
            <wp:docPr id="9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114800" cy="590550"/>
            <wp:effectExtent b="0" l="0" r="0" t="0"/>
            <wp:docPr id="8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 bloco utilizar para ler a cor que está sendo lida pelo sensor de cor?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400300" cy="457200"/>
            <wp:effectExtent b="0" l="0" r="0" t="0"/>
            <wp:docPr id="9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352675" cy="419100"/>
            <wp:effectExtent b="0" l="0" r="0" t="0"/>
            <wp:docPr id="9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476500" cy="457200"/>
            <wp:effectExtent b="0" l="0" r="0" t="0"/>
            <wp:docPr id="8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276350" cy="447675"/>
            <wp:effectExtent b="0" l="0" r="0" t="0"/>
            <wp:docPr id="9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2"/>
        </w:numPr>
      </w:pPr>
      <w:bookmarkStart w:colFirst="0" w:colLast="0" w:name="_heading=h.rzzvd9m1f45b" w:id="3"/>
      <w:bookmarkEnd w:id="3"/>
      <w:r w:rsidDel="00000000" w:rsidR="00000000" w:rsidRPr="00000000">
        <w:rPr>
          <w:rtl w:val="0"/>
        </w:rPr>
        <w:t xml:space="preserve">Qual condição utilizar para verificar se a cor é preta?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14750" cy="962025"/>
            <wp:effectExtent b="0" l="0" r="0" t="0"/>
            <wp:docPr id="9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933700" cy="942975"/>
            <wp:effectExtent b="0" l="0" r="0" t="0"/>
            <wp:docPr id="8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76725" cy="895350"/>
            <wp:effectExtent b="0" l="0" r="0" t="0"/>
            <wp:docPr id="8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295650" cy="1323975"/>
            <wp:effectExtent b="0" l="0" r="0" t="0"/>
            <wp:docPr id="7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line="276" w:lineRule="auto"/>
        <w:rPr/>
      </w:pPr>
      <w:bookmarkStart w:colFirst="0" w:colLast="0" w:name="_heading=h.7rcrpkld9kun" w:id="4"/>
      <w:bookmarkEnd w:id="4"/>
      <w:r w:rsidDel="00000000" w:rsidR="00000000" w:rsidRPr="00000000">
        <w:rPr>
          <w:rtl w:val="0"/>
        </w:rPr>
        <w:t xml:space="preserve">Sentimento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Como você se sentiu ao fazer o desafio com o robô? Marque uma carinha abaixo que corresponda ao seu sentimento.</w:t>
      </w:r>
    </w:p>
    <w:p w:rsidR="00000000" w:rsidDel="00000000" w:rsidP="00000000" w:rsidRDefault="00000000" w:rsidRPr="00000000" w14:paraId="0000001E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55738" cy="813115"/>
            <wp:effectExtent b="0" l="0" r="0" t="0"/>
            <wp:docPr id="8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5738" cy="813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Por qual motivo você escolheu essa carinha?</w:t>
      </w:r>
    </w:p>
    <w:tbl>
      <w:tblPr>
        <w:tblStyle w:val="Table1"/>
        <w:tblW w:w="1034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3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6"/>
    <w:bookmarkEnd w:id="6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8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8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9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90" name="image20.png"/>
          <a:graphic>
            <a:graphicData uri="http://schemas.openxmlformats.org/drawingml/2006/picture">
              <pic:pic>
                <pic:nvPicPr>
                  <pic:cNvPr id="0" name="image20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7"/>
    <w:bookmarkEnd w:id="7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9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3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87" name="image17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17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24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5"/>
          <w:bookmarkEnd w:id="5"/>
          <w:r w:rsidDel="00000000" w:rsidR="00000000" w:rsidRPr="00000000">
            <w:rPr>
              <w:rtl w:val="0"/>
            </w:rPr>
            <w:t xml:space="preserve">Questionário e Feedback - Escapando do labirinto</w:t>
          </w:r>
        </w:p>
        <w:p w:rsidR="00000000" w:rsidDel="00000000" w:rsidP="00000000" w:rsidRDefault="00000000" w:rsidRPr="00000000" w14:paraId="00000025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6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8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72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9.png"/><Relationship Id="rId10" Type="http://schemas.openxmlformats.org/officeDocument/2006/relationships/image" Target="media/image18.png"/><Relationship Id="rId21" Type="http://schemas.openxmlformats.org/officeDocument/2006/relationships/footer" Target="footer1.xml"/><Relationship Id="rId13" Type="http://schemas.openxmlformats.org/officeDocument/2006/relationships/image" Target="media/image13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11.png"/><Relationship Id="rId8" Type="http://schemas.openxmlformats.org/officeDocument/2006/relationships/image" Target="media/image1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0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Relationship Id="rId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JEeuzWafQE+5/R/aSOdIWZN2bw==">CgMxLjAyDmguNmh1MG9ndTk2M3JsMg5oLjMxY2lyMXlwZ2ZuejIOaC45cDBwYzR5NGRlNTIyDmgucnp6dmQ5bTFmNDViMg5oLjdyY3Jwa2xkOWt1bjIOaC5md3FzM2FtdW1iNmMyCWguMWtzdjR1djIJaC40NHNpbmlvOAByITE0VXVwdDNMejBpWDJsRDM5WU1kdkZWbjF5V1p0SHNaQg==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