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Tema.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- 10 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- 85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- 5 min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“Questionario - XPTO” com as respostas dos alunos.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6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6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B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2" name="image6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XPTO</w:t>
          </w:r>
        </w:p>
        <w:p w:rsidR="00000000" w:rsidDel="00000000" w:rsidP="00000000" w:rsidRDefault="00000000" w:rsidRPr="00000000" w14:paraId="0000001D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E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6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YmbPO+7MUZzQT5XGoq/CSHoFQ==">CgMxLjAyDmguOG1yMmRlMnNhb25mMghoLmdqZGd4czIJaC4zMGowemxsMgloLjFmb2I5dGUyCWguM3pueXNoNzIOaC5zODV5cTQzdnVmb2oyDmgubDdpeGIzajJ4Mm9hMg5oLmhoNGlsNWJhcWU3OTIOaC4xb3ZtdGEybm45cTQyDmguN3RxaTFydW9mamJqMg5oLmZ3cXMzYW11bWI2YzIJaC4xa3N2NHV2MgloLjQ0c2luaW84AHIhMWU2ZVI1YWsxV2xHX05DNkM5REZaYm1XOGd1NkZGYn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