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2"/>
          <w:szCs w:val="32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rPr>
          <w:b w:val="0"/>
        </w:r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Única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Alternativa B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Alternativa C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Alternativa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Várias escolhas.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Alternativa 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Alternativa 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Alternativa 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Alternativa 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/>
      </w:pPr>
      <w:bookmarkStart w:colFirst="0" w:colLast="0" w:name="_heading=h.7rcrpkld9kun" w:id="3"/>
      <w:bookmarkEnd w:id="3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0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6"/>
    <w:bookmarkEnd w:id="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7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5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73" name="image5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16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4"/>
          <w:bookmarkEnd w:id="4"/>
          <w:r w:rsidDel="00000000" w:rsidR="00000000" w:rsidRPr="00000000">
            <w:rPr>
              <w:rtl w:val="0"/>
            </w:rPr>
            <w:t xml:space="preserve">Questionário e Feedback - XPTO</w:t>
          </w:r>
        </w:p>
        <w:p w:rsidR="00000000" w:rsidDel="00000000" w:rsidP="00000000" w:rsidRDefault="00000000" w:rsidRPr="00000000" w14:paraId="00000017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8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6.png"/><Relationship Id="rId4" Type="http://schemas.openxmlformats.org/officeDocument/2006/relationships/image" Target="media/image8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Fj1kX8vNl/5CRHEC3xqUFuOEQ==">CgMxLjAyDmguNmh1MG9ndTk2M3JsMg5oLjhtcjJkZTJzYW9uZjIOaC5hZnRiN3FjdjFtbzUyDmguN3JjcnBrbGQ5a3VuMg5oLmZ3cXMzYW11bWI2YzIJaC4xa3N2NHV2MgloLjQ0c2luaW84AHIhMW9NdlhKUm1hV29OZXkwVzgzOERKdkt3RlBxS2ktX2FT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