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Desafio</w:t>
      </w:r>
      <w:r w:rsidDel="00000000" w:rsidR="00000000" w:rsidRPr="00000000">
        <w:rPr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Olá equipe! Temos novos desafios pela frente, pois a mineradora nos trouxe um problema que está sendo encontrado no trajeto do caminhão fora de estrada. Agora, o trajeto está repleto de obstáculos que devem ser evitados a todo custo, como outros caminhões e blocos de minério depositados no meio do caminho.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lidar com essa nova situação, precisamos modificar a estrutura do caminhão, adicionando um sensor de distância e atualizando o código para que ele possa detectar e desviar desses obstáculos de forma eficaz. Além disso, é fundamental que, após desviar de um obstáculo, o caminhão retorne imediatamente para sua linha e continue seu trajeto sem problemas.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 obstáculos podem ser outros caminhões ou blocos de minério. A mineradora forneceu os tamanhos máximos e mínimos dos obstáculos, que devemos levar em consideração ao programar o desvio do caminhão. Uma visão geral desses obstáculos pode ser vista na imagem a seguir.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5375" cy="2009775"/>
            <wp:effectExtent b="0" l="0" r="0" t="0"/>
            <wp:docPr id="5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Essa atualização na estrutura e no código será crucial para garantir a eficiência e a segurança das operações do caminhão fora de estrada.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Caso surjam dúvidas ou dificuldades durante a implementação das modificações, lembrem-se de que o líder técnico está disponível para oferecer orientação e suporte. Além disso, temos à nossa disposição um documento com dicas valiosas elaborado por engenheiros experientes, que certamente nos ajudará durante o processo.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 determinação, criatividade e trabalho em equipe, estou confiante de que podemos fazer as modificações necessárias para que o caminhão possa desviar dos obstáculos e continuar sua jornada sem problemas. Vamos lá, equipe, mãos à obra!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pdm0414g6xwl" w:id="1"/>
      <w:bookmarkEnd w:id="1"/>
      <w:r w:rsidDel="00000000" w:rsidR="00000000" w:rsidRPr="00000000">
        <w:rPr>
          <w:u w:val="none"/>
          <w:rtl w:val="0"/>
        </w:rPr>
        <w:t xml:space="preserve">Organização das tarefas do desafio.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Desmembre o desafio em tarefas menores e, a partir disso, distribua essas tarefas entre os membros da equipe.</w:t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7080"/>
        <w:tblGridChange w:id="0">
          <w:tblGrid>
            <w:gridCol w:w="324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do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200" w:line="276" w:lineRule="auto"/>
        <w:ind w:left="720" w:hanging="360"/>
        <w:rPr/>
      </w:pPr>
      <w:bookmarkStart w:colFirst="0" w:colLast="0" w:name="_heading=h.gjdgxs" w:id="2"/>
      <w:bookmarkEnd w:id="2"/>
      <w:r w:rsidDel="00000000" w:rsidR="00000000" w:rsidRPr="00000000">
        <w:rPr>
          <w:u w:val="none"/>
          <w:rtl w:val="0"/>
        </w:rPr>
        <w:t xml:space="preserve">Como a equipe solucionou o desafio?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Explique, em poucas palavras, como a equipe conseguiu solucionar o desafio proposto.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4"/>
    <w:bookmarkEnd w:id="4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5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5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5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5"/>
    <w:bookmarkEnd w:id="5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5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2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56" name="image5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3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3"/>
          <w:bookmarkEnd w:id="3"/>
          <w:r w:rsidDel="00000000" w:rsidR="00000000" w:rsidRPr="00000000">
            <w:rPr>
              <w:rtl w:val="0"/>
            </w:rPr>
            <w:t xml:space="preserve">Atividade - Obstáculo</w:t>
          </w:r>
        </w:p>
        <w:p w:rsidR="00000000" w:rsidDel="00000000" w:rsidP="00000000" w:rsidRDefault="00000000" w:rsidRPr="00000000" w14:paraId="00000024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5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7.png"/><Relationship Id="rId4" Type="http://schemas.openxmlformats.org/officeDocument/2006/relationships/image" Target="media/image2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lE2N9GJFgtV42+/Suj6ULfoyQ==">CgMxLjAyDmguOG1yMmRlMnNhb25mMg5oLnBkbTA0MTRnNnh3bDIIaC5namRneHMyDmguZndxczNhbXVtYjZjMgloLjFrc3Y0dXYyCWguNDRzaW5pbzgAciExbVgyaUNkVEZCeEg2YnBQbzh6aVRaN0dKb2FETDRXZDQ=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