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8"/>
          <w:szCs w:val="28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rPr/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Marque a alternativa incorreta.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 motor grande deve ser usado para atividades mais potentes.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 sensor ultrassônico deve ser usado para reconhecer cores.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 bloco EV3 é responsável pela leitura dos sensores e atuação dos motores.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 sensor giroscópio é usado para verificar quantos graus o robô movimentou.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rPr/>
      </w:pPr>
      <w:bookmarkStart w:colFirst="0" w:colLast="0" w:name="_heading=h.9p0pc4y4de52" w:id="2"/>
      <w:bookmarkEnd w:id="2"/>
      <w:r w:rsidDel="00000000" w:rsidR="00000000" w:rsidRPr="00000000">
        <w:rPr>
          <w:rtl w:val="0"/>
        </w:rPr>
        <w:t xml:space="preserve">Onde deve ser conectado o motor?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Porta de entrada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 de saída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 de saída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 de entrada 4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</w:pPr>
      <w:bookmarkStart w:colFirst="0" w:colLast="0" w:name="_heading=h.aftb7qcv1mo5" w:id="3"/>
      <w:bookmarkEnd w:id="3"/>
      <w:r w:rsidDel="00000000" w:rsidR="00000000" w:rsidRPr="00000000">
        <w:rPr>
          <w:rtl w:val="0"/>
        </w:rPr>
        <w:t xml:space="preserve">Qual bloco utilizar para movimentar apenas um motor por uma rotação?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752725" cy="533400"/>
            <wp:effectExtent b="0" l="0" r="0" t="0"/>
            <wp:docPr id="6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771900" cy="495300"/>
            <wp:effectExtent b="0" l="0" r="0" t="0"/>
            <wp:docPr id="6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714625" cy="466725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905250" cy="485775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pacing w:after="0" w:afterAutospacing="0"/>
        <w:rPr/>
      </w:pPr>
      <w:bookmarkStart w:colFirst="0" w:colLast="0" w:name="_heading=h.rn4ezuldlnl3" w:id="4"/>
      <w:bookmarkEnd w:id="4"/>
      <w:r w:rsidDel="00000000" w:rsidR="00000000" w:rsidRPr="00000000">
        <w:rPr>
          <w:rtl w:val="0"/>
        </w:rPr>
        <w:t xml:space="preserve">Qual bloco utilizar para movimentar apenas um motor por uma rotação?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352800" cy="504825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657475" cy="504825"/>
            <wp:effectExtent b="0" l="0" r="0" t="0"/>
            <wp:docPr id="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105150" cy="447675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086225" cy="504825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spacing w:after="0" w:afterAutospacing="0"/>
        <w:rPr/>
      </w:pPr>
      <w:bookmarkStart w:colFirst="0" w:colLast="0" w:name="_heading=h.l52fbqo9xeue" w:id="5"/>
      <w:bookmarkEnd w:id="5"/>
      <w:r w:rsidDel="00000000" w:rsidR="00000000" w:rsidRPr="00000000">
        <w:rPr>
          <w:rtl w:val="0"/>
        </w:rPr>
        <w:t xml:space="preserve">O que deve ser feito para funcionar o bloco de movimento?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Ligar os motores na porta de entrada.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o movimento reto.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os motores de movimento e a velocidade.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o bloco com a instrução “parar de mover”.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bookmarkStart w:colFirst="0" w:colLast="0" w:name="_heading=h.7rcrpkld9kun" w:id="6"/>
      <w:bookmarkEnd w:id="6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4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8"/>
    <w:bookmarkEnd w:id="8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0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64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9"/>
    <w:bookmarkEnd w:id="9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3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9" name="image9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7"/>
          <w:bookmarkEnd w:id="7"/>
          <w:r w:rsidDel="00000000" w:rsidR="00000000" w:rsidRPr="00000000">
            <w:rPr>
              <w:rtl w:val="0"/>
            </w:rPr>
            <w:t xml:space="preserve">Questionário e Feedback - Primeiro contato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6.png"/><Relationship Id="rId3" Type="http://schemas.openxmlformats.org/officeDocument/2006/relationships/image" Target="media/image12.png"/><Relationship Id="rId4" Type="http://schemas.openxmlformats.org/officeDocument/2006/relationships/image" Target="media/image10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f+qTRcR4eNFM8a/h6dERhel+sw==">CgMxLjAyDmguNmh1MG9ndTk2M3JsMg5oLjhtcjJkZTJzYW9uZjIOaC45cDBwYzR5NGRlNTIyDmguYWZ0YjdxY3YxbW81Mg5oLnJuNGV6dWxkbG5sMzIOaC5sNTJmYnFvOXhldWUyDmguN3JjcnBrbGQ5a3VuMg5oLmZ3cXMzYW11bWI2YzIJaC4xa3N2NHV2MgloLjQ0c2luaW84AHIhMW1yT2kxYlNELWNrQ19zYUROcjZFdlZpOEtsQnF2NlU2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