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</w:pPr>
      <w:bookmarkStart w:colFirst="0" w:colLast="0" w:name="_heading=h.8mr2de2saonf" w:id="1"/>
      <w:bookmarkEnd w:id="1"/>
      <w:r w:rsidDel="00000000" w:rsidR="00000000" w:rsidRPr="00000000">
        <w:rPr>
          <w:rtl w:val="0"/>
        </w:rPr>
        <w:t xml:space="preserve">Onde os marcadores de percurso serão colocados ao longo do trajeto?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Em qualquer lugar do trajeto.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Nas curvas do percurso.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Sempre nas interseções do trajeto.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Ao longo das retas do percurso.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Por que é importante aplicar filtros no código para detectar corretamente as cores dos marcadores de percurso?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tornar o código mais complexo.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reduzir o número de linhas de código.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Para evitar erros de leitura e garantir a precisão na detecção das cores.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 aumentar o consumo de energia.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Qual é uma técnica de filtragem que pode ser utilizada para detectar corretamente as cores dos marcadores de percurso?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Contar o número total de pixels na imagem.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Calcular a média de todas as leituras de cor.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Utilizar a moda das leituras de cor para identificar a cor predominante.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Aumentar o brilho do sensor para melhorar a detecção de cores.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Como o modelo de cores RGB pode ser útil para garantir uma detecção mais precisa das cores dos marcadores de percurso?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Ele permite a leitura da cor apenas em tons de cinza.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Ele fornece uma representação detalhada da cor através da combinação de intensidades de vermelho, verde e azul.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Ele limita a detecção de cores a uma gama estreita de tons.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 simplifica a detecção de cores, reduzindo a precisão das leituras.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aftb7qcv1mo5" w:id="2"/>
      <w:bookmarkEnd w:id="2"/>
      <w:r w:rsidDel="00000000" w:rsidR="00000000" w:rsidRPr="00000000">
        <w:rPr>
          <w:rtl w:val="0"/>
        </w:rPr>
        <w:t xml:space="preserve">Considerando que o sensor da esquerda é o 1 e o sensor da direita é o 2, qual melhor código para identificar o marcador de percurso durante o trajeto?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893762" cy="909468"/>
            <wp:effectExtent b="0" l="0" r="0" t="0"/>
            <wp:docPr id="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3762" cy="909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03287" cy="830641"/>
            <wp:effectExtent b="0" l="0" r="0" t="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3287" cy="83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22337" cy="814422"/>
            <wp:effectExtent b="0" l="0" r="0" t="0"/>
            <wp:docPr id="8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2337" cy="8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541713" cy="901950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713" cy="90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276" w:lineRule="auto"/>
        <w:rPr/>
      </w:pPr>
      <w:bookmarkStart w:colFirst="0" w:colLast="0" w:name="_heading=h.7rcrpkld9kun" w:id="3"/>
      <w:bookmarkEnd w:id="3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002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8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8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1" name="image6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4"/>
          <w:bookmarkEnd w:id="4"/>
          <w:r w:rsidDel="00000000" w:rsidR="00000000" w:rsidRPr="00000000">
            <w:rPr>
              <w:rtl w:val="0"/>
            </w:rPr>
            <w:t xml:space="preserve">Questionário e Feedback - Siga-me</w:t>
          </w:r>
        </w:p>
        <w:p w:rsidR="00000000" w:rsidDel="00000000" w:rsidP="00000000" w:rsidRDefault="00000000" w:rsidRPr="00000000" w14:paraId="00000026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7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7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mJkydFNgsYU4JDGVcV91OU5Qg==">CgMxLjAyDmguNmh1MG9ndTk2M3JsMg5oLjhtcjJkZTJzYW9uZjIOaC5hZnRiN3FjdjFtbzUyDmguYWZ0YjdxY3YxbW81Mg5oLmFmdGI3cWN2MW1vNTIOaC5hZnRiN3FjdjFtbzUyDmguN3JjcnBrbGQ5a3VuMg5oLmZ3cXMzYW11bWI2YzIJaC4xa3N2NHV2MgloLjQ0c2luaW84AHIhMWFiMEtFaDEwblZ0NWtrS0xEc0ZHYXo4My14YWJDdXpZ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