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0"/>
      </w:pPr>
    </w:p>
    <w:p>
      <w:pPr>
        <w:spacing w:after="100"/>
        <w:jc w:val="center"/>
      </w:pPr>
      <w:r>
        <w:rPr>
          <w:rFonts w:ascii="Calibri" w:cs="Calibri" w:eastAsia="Calibri" w:hAnsi="Calibri"/>
          <w:b/>
          <w:bCs/>
          <w:color w:val="000d6e"/>
          <w:sz w:val="56"/>
          <w:szCs w:val="56"/>
        </w:rPr>
        <w:t xml:space="preserve">CORRECTIF COLLEGIAL V2.1</w:t>
      </w:r>
    </w:p>
    <w:p>
      <w:pPr>
        <w:pBdr>
          <w:bottom w:val="single" w:color="000d6e" w:sz="6" w:space="12"/>
        </w:pBdr>
        <w:spacing w:after="100"/>
        <w:jc w:val="center"/>
      </w:pPr>
      <w:r>
        <w:rPr>
          <w:rFonts w:ascii="Calibri" w:cs="Calibri" w:eastAsia="Calibri" w:hAnsi="Calibri"/>
          <w:color w:val="000d6e"/>
          <w:sz w:val="32"/>
          <w:szCs w:val="32"/>
        </w:rPr>
        <w:t xml:space="preserve">Adequation Contrats — Protection des Biens (HOME)</w:t>
      </w:r>
    </w:p>
    <w:p>
      <w:pPr>
        <w:spacing w:after="300"/>
      </w:pPr>
    </w:p>
    <w:p>
      <w:pPr>
        <w:spacing w:after="60"/>
        <w:jc w:val="center"/>
      </w:pPr>
      <w:r>
        <w:rPr>
          <w:rFonts w:ascii="Calibri" w:cs="Calibri" w:eastAsia="Calibri" w:hAnsi="Calibri"/>
          <w:b/>
          <w:bCs/>
          <w:color w:val="E65100"/>
          <w:sz w:val="24"/>
          <w:szCs w:val="24"/>
        </w:rPr>
        <w:t xml:space="preserve">PATCH DECISIONNEL — 6 corrections imperatives</w:t>
      </w:r>
    </w:p>
    <w:p>
      <w:pPr>
        <w:spacing w:after="200"/>
      </w:pPr>
    </w:p>
    <w:p>
      <w:pPr>
        <w:spacing w:after="100"/>
        <w:jc w:val="center"/>
      </w:pPr>
      <w:r>
        <w:rPr>
          <w:rFonts w:ascii="Calibri" w:cs="Calibri" w:eastAsia="Calibri" w:hAnsi="Calibri"/>
          <w:color w:val="666666"/>
          <w:sz w:val="24"/>
          <w:szCs w:val="24"/>
        </w:rPr>
        <w:t xml:space="preserve">Roue des Besoins Assurance — Baloise Luxembourg</w:t>
      </w:r>
    </w:p>
    <w:p>
      <w:pPr>
        <w:spacing w:after="200"/>
        <w:jc w:val="center"/>
      </w:pPr>
      <w:r>
        <w:rPr>
          <w:rFonts w:ascii="Calibri" w:cs="Calibri" w:eastAsia="Calibri" w:hAnsi="Calibri"/>
          <w:color w:val="666666"/>
          <w:sz w:val="24"/>
          <w:szCs w:val="24"/>
        </w:rPr>
        <w:t xml:space="preserve">Mars 2026</w:t>
      </w:r>
    </w:p>
    <w:p>
      <w:pPr>
        <w:spacing w:after="400"/>
      </w:pPr>
    </w:p>
    <w:p>
      <w:pPr>
        <w:spacing w:after="60"/>
        <w:jc w:val="center"/>
      </w:pPr>
      <w:r>
        <w:rPr>
          <w:rFonts w:ascii="Calibri" w:cs="Calibri" w:eastAsia="Calibri" w:hAnsi="Calibri"/>
          <w:b/>
          <w:bCs/>
          <w:color w:val="000d6e"/>
          <w:sz w:val="20"/>
          <w:szCs w:val="20"/>
        </w:rPr>
        <w:t xml:space="preserve">Statut : PATCH de la Note Collegiale V2.0</w:t>
      </w:r>
    </w:p>
    <w:p>
      <w:pPr>
        <w:spacing w:after="60"/>
        <w:jc w:val="center"/>
      </w:pPr>
      <w:r>
        <w:rPr>
          <w:rFonts w:ascii="Calibri" w:cs="Calibri" w:eastAsia="Calibri" w:hAnsi="Calibri"/>
          <w:color w:val="666666"/>
          <w:sz w:val="20"/>
          <w:szCs w:val="20"/>
        </w:rPr>
        <w:t xml:space="preserve">Nature : verrouillage des 15-20 % de fragilites restantes</w:t>
      </w:r>
    </w:p>
    <w:p>
      <w:pPr>
        <w:spacing w:after="60"/>
        <w:jc w:val="center"/>
      </w:pPr>
      <w:r>
        <w:rPr>
          <w:rFonts w:ascii="Calibri" w:cs="Calibri" w:eastAsia="Calibri" w:hAnsi="Calibri"/>
          <w:i/>
          <w:iCs/>
          <w:color w:val="999999"/>
          <w:sz w:val="20"/>
          <w:szCs w:val="20"/>
        </w:rPr>
        <w:t xml:space="preserve">Le reste de la V2 est CONFIRME</w:t>
      </w:r>
    </w:p>
    <w:p>
      <w:pPr>
        <w:spacing w:after="300"/>
      </w:pPr>
    </w:p>
    <w:p>
      <w:pPr>
        <w:jc w:val="center"/>
      </w:pPr>
      <w:r>
        <w:rPr>
          <w:rFonts w:ascii="Calibri" w:cs="Calibri" w:eastAsia="Calibri" w:hAnsi="Calibri"/>
          <w:color w:val="888888"/>
          <w:sz w:val="18"/>
          <w:szCs w:val="18"/>
        </w:rPr>
        <w:t xml:space="preserve">14 agents specialises contributeurs (college identique a la V2)</w:t>
      </w:r>
    </w:p>
    <w:p>
      <w:pPr>
        <w:sectPr>
          <w:pgSz w:w="11906" w:h="16838" w:orient="portrait"/>
          <w:pgMar w:top="1440" w:right="1440" w:bottom="1440" w:left="1440" w:header="708" w:footer="708" w:gutter="0"/>
          <w:pgNumType/>
          <w:docGrid w:linePitch="360"/>
        </w:sectPr>
      </w:pPr>
    </w:p>
    <w:p>
      <w:pPr>
        <w:pStyle w:val="Heading1"/>
        <w:spacing w:after="200" w:before="240"/>
      </w:pPr>
      <w:r>
        <w:rPr>
          <w:rFonts w:ascii="Calibri" w:cs="Calibri" w:eastAsia="Calibri" w:hAnsi="Calibri"/>
          <w:b/>
          <w:bCs/>
          <w:color w:val="000d6e"/>
          <w:sz w:val="32"/>
          <w:szCs w:val="32"/>
        </w:rPr>
        <w:t xml:space="preserve">PARTIE 1 — Verdict V2.1</w:t>
      </w:r>
    </w:p>
    <w:p>
      <w:pPr>
        <w:pBdr>
          <w:top w:val="single" w:color="168741" w:sz="3"/>
          <w:bottom w:val="single" w:color="168741" w:sz="3"/>
          <w:left w:val="single" w:color="168741" w:sz="3"/>
          <w:right w:val="single" w:color="168741" w:sz="3"/>
        </w:pBdr>
        <w:shd w:fill="E8F5E9" w:val="clear"/>
        <w:spacing w:after="120" w:before="120"/>
        <w:jc w:val="center"/>
      </w:pPr>
      <w:r>
        <w:rPr>
          <w:rFonts w:ascii="Calibri" w:cs="Calibri" w:eastAsia="Calibri" w:hAnsi="Calibri"/>
          <w:b/>
          <w:bCs/>
          <w:color w:val="168741"/>
          <w:sz w:val="28"/>
          <w:szCs w:val="28"/>
        </w:rPr>
        <w:t xml:space="preserve">GO CONDITIONNEL CONFIRME — V2 corrigee sur 6 points</w:t>
      </w:r>
    </w:p>
    <w:p>
      <w:pPr>
        <w:spacing w:after="120" w:before="0"/>
      </w:pPr>
      <w:r>
        <w:rPr>
          <w:rFonts w:ascii="Calibri" w:cs="Calibri" w:eastAsia="Calibri" w:hAnsi="Calibri"/>
          <w:sz w:val="22"/>
          <w:szCs w:val="22"/>
        </w:rPr>
        <w:t xml:space="preserve">La V2 est confirmee a 80-85 %. Le GO CONDITIONNEL tient. Le perimetre MRH, l’approche prudente, la restitution categorique, l’Option B (pdf-parse + Mistral Large) et la strategie de phasage sont maintenus.</w:t>
      </w:r>
    </w:p>
    <w:p>
      <w:pPr>
        <w:spacing w:after="120" w:before="0"/>
      </w:pPr>
      <w:r>
        <w:rPr>
          <w:rFonts w:ascii="Calibri" w:cs="Calibri" w:eastAsia="Calibri" w:hAnsi="Calibri"/>
          <w:sz w:val="22"/>
          <w:szCs w:val="22"/>
        </w:rPr>
        <w:t xml:space="preserve">Le present correctif verrouille 6 fragilites identifiees par relecture collegiale :</w:t>
      </w:r>
    </w:p>
    <w:p>
      <w:pPr>
        <w:pStyle w:val="ListParagraph"/>
        <w:numPr>
          <w:ilvl w:val="0"/>
          <w:numId w:val="2"/>
        </w:numPr>
        <w:spacing w:after="60"/>
      </w:pPr>
      <w:r>
        <w:rPr>
          <w:rFonts w:ascii="Calibri" w:cs="Calibri" w:eastAsia="Calibri" w:hAnsi="Calibri"/>
          <w:sz w:val="22"/>
          <w:szCs w:val="22"/>
        </w:rPr>
        <w:t xml:space="preserve">La contradiction sur ce qui peut demarrer avant validation IDD est levee par une matrice composant par composant.</w:t>
      </w:r>
    </w:p>
    <w:p>
      <w:pPr>
        <w:pStyle w:val="ListParagraph"/>
        <w:numPr>
          <w:ilvl w:val="0"/>
          <w:numId w:val="2"/>
        </w:numPr>
        <w:spacing w:after="60"/>
      </w:pPr>
      <w:r>
        <w:rPr>
          <w:rFonts w:ascii="Calibri" w:cs="Calibri" w:eastAsia="Calibri" w:hAnsi="Calibri"/>
          <w:sz w:val="22"/>
          <w:szCs w:val="22"/>
        </w:rPr>
        <w:t xml:space="preserve">L’incoherence entre formats acceptes (PDF/JPEG/PNG) et strategie Phase 1 (PDF natifs seulement) est eliminee.</w:t>
      </w:r>
    </w:p>
    <w:p>
      <w:pPr>
        <w:pStyle w:val="ListParagraph"/>
        <w:numPr>
          <w:ilvl w:val="0"/>
          <w:numId w:val="2"/>
        </w:numPr>
        <w:spacing w:after="60"/>
      </w:pPr>
      <w:r>
        <w:rPr>
          <w:rFonts w:ascii="Calibri" w:cs="Calibri" w:eastAsia="Calibri" w:hAnsi="Calibri"/>
          <w:sz w:val="22"/>
          <w:szCs w:val="22"/>
        </w:rPr>
        <w:t xml:space="preserve">La position technologique est reecrite avec une honnetete accrue sur les besoins de supervision.</w:t>
      </w:r>
    </w:p>
    <w:p>
      <w:pPr>
        <w:pStyle w:val="ListParagraph"/>
        <w:numPr>
          <w:ilvl w:val="0"/>
          <w:numId w:val="2"/>
        </w:numPr>
        <w:spacing w:after="60"/>
      </w:pPr>
      <w:r>
        <w:rPr>
          <w:rFonts w:ascii="Calibri" w:cs="Calibri" w:eastAsia="Calibri" w:hAnsi="Calibri"/>
          <w:sz w:val="22"/>
          <w:szCs w:val="22"/>
        </w:rPr>
        <w:t xml:space="preserve">Les seuils de qualite sont rehausses et structures en 3 niveaux (build / beta / go-live).</w:t>
      </w:r>
    </w:p>
    <w:p>
      <w:pPr>
        <w:pStyle w:val="ListParagraph"/>
        <w:numPr>
          <w:ilvl w:val="0"/>
          <w:numId w:val="2"/>
        </w:numPr>
        <w:spacing w:after="60"/>
      </w:pPr>
      <w:r>
        <w:rPr>
          <w:rFonts w:ascii="Calibri" w:cs="Calibri" w:eastAsia="Calibri" w:hAnsi="Calibri"/>
          <w:sz w:val="22"/>
          <w:szCs w:val="22"/>
        </w:rPr>
        <w:t xml:space="preserve">Le corpus passe de 25 a 50 contrats structures, avec un plan d’echantillonnage.</w:t>
      </w:r>
    </w:p>
    <w:p>
      <w:pPr>
        <w:pStyle w:val="ListParagraph"/>
        <w:numPr>
          <w:ilvl w:val="0"/>
          <w:numId w:val="2"/>
        </w:numPr>
        <w:spacing w:after="60"/>
      </w:pPr>
      <w:r>
        <w:rPr>
          <w:rFonts w:ascii="Calibri" w:cs="Calibri" w:eastAsia="Calibri" w:hAnsi="Calibri"/>
          <w:sz w:val="22"/>
          <w:szCs w:val="22"/>
        </w:rPr>
        <w:t xml:space="preserve">Le libelle client “couvert” est remplace par “detecte dans votre contrat” pour reduire le risque juridique et reputationnel.</w:t>
      </w:r>
    </w:p>
    <w:p>
      <w:pPr>
        <w:spacing w:after="60"/>
      </w:pPr>
    </w:p>
    <w:p>
      <w:pPr>
        <w:spacing w:after="120" w:before="0"/>
      </w:pPr>
      <w:r>
        <w:rPr>
          <w:rFonts w:ascii="Calibri" w:cs="Calibri" w:eastAsia="Calibri" w:hAnsi="Calibri"/>
          <w:b/>
          <w:bCs/>
          <w:sz w:val="22"/>
          <w:szCs w:val="22"/>
        </w:rPr>
        <w:t xml:space="preserve">Apres application de ce correctif, la V2.1 est presentable comme base d’arbitrage finale en comite produit. Aucun tour supplementaire n’est necessaire.</w:t>
      </w:r>
    </w:p>
    <w:p>
      <w:pPr>
        <w:pStyle w:val="Heading1"/>
        <w:pageBreakBefore/>
        <w:spacing w:after="200" w:before="240"/>
      </w:pPr>
      <w:r>
        <w:rPr>
          <w:rFonts w:ascii="Calibri" w:cs="Calibri" w:eastAsia="Calibri" w:hAnsi="Calibri"/>
          <w:b/>
          <w:bCs/>
          <w:color w:val="000d6e"/>
          <w:sz w:val="32"/>
          <w:szCs w:val="32"/>
        </w:rPr>
        <w:t xml:space="preserve">PARTIE 2 — Les 6 corrections imperatives</w:t>
      </w:r>
    </w:p>
    <w:p>
      <w:pPr>
        <w:pStyle w:val="Heading2"/>
        <w:spacing w:after="160" w:before="200"/>
      </w:pPr>
      <w:r>
        <w:rPr>
          <w:rFonts w:ascii="Calibri" w:cs="Calibri" w:eastAsia="Calibri" w:hAnsi="Calibri"/>
          <w:b/>
          <w:bCs/>
          <w:color w:val="000d6e"/>
          <w:sz w:val="26"/>
          <w:szCs w:val="26"/>
        </w:rPr>
        <w:t xml:space="preserve">Sujet 1 — Ce qui peut demarrer avant validation IDD</w:t>
      </w:r>
    </w:p>
    <w:p>
      <w:pPr>
        <w:pStyle w:val="Heading3"/>
        <w:spacing w:after="120" w:before="160"/>
      </w:pPr>
      <w:r>
        <w:rPr>
          <w:rFonts w:ascii="Calibri" w:cs="Calibri" w:eastAsia="Calibri" w:hAnsi="Calibri"/>
          <w:b/>
          <w:bCs/>
          <w:color w:val="000d6e"/>
          <w:sz w:val="23"/>
          <w:szCs w:val="23"/>
        </w:rPr>
        <w:t xml:space="preserve">Contradiction identifiee</w:t>
      </w:r>
    </w:p>
    <w:p>
      <w:pPr>
        <w:spacing w:after="120" w:before="0"/>
      </w:pPr>
      <w:r>
        <w:rPr>
          <w:rFonts w:ascii="Calibri" w:cs="Calibri" w:eastAsia="Calibri" w:hAnsi="Calibri"/>
          <w:sz w:val="22"/>
          <w:szCs w:val="22"/>
        </w:rPr>
        <w:t xml:space="preserve">La V2 contient deux affirmations incompatibles :</w:t>
      </w:r>
    </w:p>
    <w:p>
      <w:pPr>
        <w:pStyle w:val="ListParagraph"/>
        <w:numPr>
          <w:ilvl w:val="0"/>
          <w:numId w:val="3"/>
        </w:numPr>
        <w:spacing w:after="60"/>
      </w:pPr>
      <w:r>
        <w:rPr>
          <w:rFonts w:ascii="Calibri" w:cs="Calibri" w:eastAsia="Calibri" w:hAnsi="Calibri"/>
          <w:sz w:val="22"/>
          <w:szCs w:val="22"/>
        </w:rPr>
        <w:t xml:space="preserve">Section 1 : “Le dev peut commencer sur le moteur d’adequation et l’UI”</w:t>
      </w:r>
    </w:p>
    <w:p>
      <w:pPr>
        <w:pStyle w:val="ListParagraph"/>
        <w:numPr>
          <w:ilvl w:val="0"/>
          <w:numId w:val="3"/>
        </w:numPr>
        <w:spacing w:after="60"/>
      </w:pPr>
      <w:r>
        <w:rPr>
          <w:rFonts w:ascii="Calibri" w:cs="Calibri" w:eastAsia="Calibri" w:hAnsi="Calibri"/>
          <w:sz w:val="22"/>
          <w:szCs w:val="22"/>
        </w:rPr>
        <w:t xml:space="preserve">Section 13 : “Front-end bloque jusqu’a validation IDD”</w:t>
      </w:r>
    </w:p>
    <w:p>
      <w:pPr>
        <w:spacing w:after="120" w:before="0"/>
      </w:pPr>
      <w:r>
        <w:rPr>
          <w:rFonts w:ascii="Calibri" w:cs="Calibri" w:eastAsia="Calibri" w:hAnsi="Calibri"/>
          <w:sz w:val="22"/>
          <w:szCs w:val="22"/>
        </w:rPr>
        <w:t xml:space="preserve">Le probleme : “l’UI” est un terme ambigu. L’ecran d’upload n’a pas le meme statut IDD que l’ecran de restitution des resultats.</w:t>
      </w:r>
    </w:p>
    <w:p>
      <w:pPr>
        <w:pStyle w:val="Heading3"/>
        <w:spacing w:after="120" w:before="160"/>
      </w:pPr>
      <w:r>
        <w:rPr>
          <w:rFonts w:ascii="Calibri" w:cs="Calibri" w:eastAsia="Calibri" w:hAnsi="Calibri"/>
          <w:b/>
          <w:bCs/>
          <w:color w:val="000d6e"/>
          <w:sz w:val="23"/>
          <w:szCs w:val="23"/>
        </w:rPr>
        <w:t xml:space="preserve">Decision V2.1</w:t>
      </w:r>
    </w:p>
    <w:p>
      <w:pPr>
        <w:spacing w:after="120" w:before="0"/>
      </w:pPr>
      <w:r>
        <w:rPr>
          <w:rFonts w:ascii="Calibri" w:cs="Calibri" w:eastAsia="Calibri" w:hAnsi="Calibri"/>
          <w:b/>
          <w:bCs/>
          <w:sz w:val="22"/>
          <w:szCs w:val="22"/>
        </w:rPr>
        <w:t xml:space="preserve">Regle unique : </w:t>
      </w:r>
      <w:r>
        <w:rPr>
          <w:rFonts w:ascii="Calibri" w:cs="Calibri" w:eastAsia="Calibri" w:hAnsi="Calibri"/>
          <w:sz w:val="22"/>
          <w:szCs w:val="22"/>
        </w:rPr>
        <w:t xml:space="preserve">tout ce qui ne montre pas de resultat d’adequation au client peut demarrer avant validation IDD. Tout ce qui affiche un statut au client est bloque.</w:t>
      </w:r>
    </w:p>
    <w:p>
      <w:pPr>
        <w:spacing w:after="6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3126"/>
        <w:gridCol w:w="1000"/>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Composant</w:t>
            </w:r>
          </w:p>
        </w:tc>
        <w:tc>
          <w:tcPr>
            <w:tcW w:type="dxa" w:w="9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Avant IDD ?</w:t>
            </w:r>
          </w:p>
        </w:tc>
        <w:tc>
          <w:tcPr>
            <w:tcW w:type="dxa" w:w="31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Condition</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Marquage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Backend : migration Supabase, table, RLS, bucket</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1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Aucune</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Backend : Background Function (pdf-parse + Mistral)</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1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Aucune</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Backend : moteur d’adequation TypeScript + tests</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1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Tests sur donnees fictives</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Backend : schema Zod + validation</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1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Aucune</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CTA factice (Phase 0)</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1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Ne delivre aucun resultat</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Ecran d’upload + confirmation (2 champs)</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1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Collecte un document, ne restitue rien</w:t>
            </w:r>
          </w:p>
        </w:tc>
        <w:tc>
          <w:tcPr>
            <w:tcW w:type="dxa" w:w="10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pPr>
              <w:spacing w:after="0"/>
            </w:pPr>
            <w:r>
              <w:rPr>
                <w:rFonts w:ascii="Calibri" w:cs="Calibri" w:eastAsia="Calibri" w:hAnsi="Calibri"/>
                <w:b/>
                <w:bCs/>
                <w:color w:val="E65100"/>
                <w:sz w:val="20"/>
                <w:szCs w:val="20"/>
              </w:rPr>
              <w:t xml:space="preserve">CHANGE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Ecran de restitution des resultats</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31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Affiche des statuts = risque IDD</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Wordings des statuts client</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31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Valides avec le juridique</w:t>
            </w:r>
          </w:p>
        </w:tc>
        <w:tc>
          <w:tcPr>
            <w:tcW w:type="dxa" w:w="1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PDF export adequation</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31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Contient les resultats</w:t>
            </w:r>
          </w:p>
        </w:tc>
        <w:tc>
          <w:tcPr>
            <w:tcW w:type="dxa" w:w="10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pPr>
              <w:spacing w:after="0"/>
            </w:pPr>
            <w:r>
              <w:rPr>
                <w:rFonts w:ascii="Calibri" w:cs="Calibri" w:eastAsia="Calibri" w:hAnsi="Calibri"/>
                <w:b/>
                <w:bCs/>
                <w:color w:val="E65100"/>
                <w:sz w:val="20"/>
                <w:szCs w:val="20"/>
              </w:rPr>
              <w:t xml:space="preserve">CHANGE</w:t>
            </w:r>
          </w:p>
        </w:tc>
      </w:tr>
    </w:tbl>
    <w:p>
      <w:pPr>
        <w:spacing w:after="60"/>
      </w:pPr>
    </w:p>
    <w:p>
      <w:pPr>
        <w:pStyle w:val="Heading3"/>
        <w:spacing w:after="120" w:before="160"/>
      </w:pPr>
      <w:r>
        <w:rPr>
          <w:rFonts w:ascii="Calibri" w:cs="Calibri" w:eastAsia="Calibri" w:hAnsi="Calibri"/>
          <w:b/>
          <w:bCs/>
          <w:color w:val="000d6e"/>
          <w:sz w:val="23"/>
          <w:szCs w:val="23"/>
        </w:rPr>
        <w:t xml:space="preserve">Reformulation V2.1 [REWRITE]</w:t>
      </w:r>
    </w:p>
    <w:p>
      <w:pPr>
        <w:pBdr>
          <w:left w:val="single" w:color="000d6e" w:sz="6" w:space="8"/>
        </w:pBdr>
        <w:spacing w:after="120" w:before="60"/>
        <w:ind w:left="360"/>
      </w:pPr>
      <w:r>
        <w:rPr>
          <w:rFonts w:ascii="Calibri" w:cs="Calibri" w:eastAsia="Calibri" w:hAnsi="Calibri"/>
          <w:i/>
          <w:iCs/>
          <w:sz w:val="21"/>
          <w:szCs w:val="21"/>
        </w:rPr>
        <w:t xml:space="preserve">Le dev backend (migration, extraction, moteur d’adequation, Zod) et le CTA factice Phase 0 peuvent demarrer immediatement, sans attendre la validation IDD. L’ecran d’upload peut etre developpe en parallele car il ne restitue aucun resultat. En revanche, l’ecran de restitution client, le PDF export et les wordings des statuts sont bloques jusqu’a validation IDD par le service juridique Baloise Luxembourg.</w:t>
      </w:r>
    </w:p>
    <w:p>
      <w:pPr>
        <w:pStyle w:val="Heading2"/>
        <w:spacing w:after="160" w:before="200"/>
      </w:pPr>
      <w:r>
        <w:rPr>
          <w:rFonts w:ascii="Calibri" w:cs="Calibri" w:eastAsia="Calibri" w:hAnsi="Calibri"/>
          <w:b/>
          <w:bCs/>
          <w:color w:val="000d6e"/>
          <w:sz w:val="26"/>
          <w:szCs w:val="26"/>
        </w:rPr>
        <w:t xml:space="preserve">Sujet 2 — Realignement formats UX et strategie Phase 1</w:t>
      </w:r>
    </w:p>
    <w:p>
      <w:pPr>
        <w:pStyle w:val="Heading3"/>
        <w:spacing w:after="120" w:before="160"/>
      </w:pPr>
      <w:r>
        <w:rPr>
          <w:rFonts w:ascii="Calibri" w:cs="Calibri" w:eastAsia="Calibri" w:hAnsi="Calibri"/>
          <w:b/>
          <w:bCs/>
          <w:color w:val="000d6e"/>
          <w:sz w:val="23"/>
          <w:szCs w:val="23"/>
        </w:rPr>
        <w:t xml:space="preserve">Contradiction identifiee</w:t>
      </w:r>
    </w:p>
    <w:p>
      <w:pPr>
        <w:pStyle w:val="ListParagraph"/>
        <w:numPr>
          <w:ilvl w:val="0"/>
          <w:numId w:val="3"/>
        </w:numPr>
        <w:spacing w:after="60"/>
      </w:pPr>
      <w:r>
        <w:rPr>
          <w:rFonts w:ascii="Calibri" w:cs="Calibri" w:eastAsia="Calibri" w:hAnsi="Calibri"/>
          <w:sz w:val="22"/>
          <w:szCs w:val="22"/>
        </w:rPr>
        <w:t xml:space="preserve">Section 7.1, etape 2 : “PDF, JPEG, PNG — max 10 MB”</w:t>
      </w:r>
    </w:p>
    <w:p>
      <w:pPr>
        <w:pStyle w:val="ListParagraph"/>
        <w:numPr>
          <w:ilvl w:val="0"/>
          <w:numId w:val="3"/>
        </w:numPr>
        <w:spacing w:after="60"/>
      </w:pPr>
      <w:r>
        <w:rPr>
          <w:rFonts w:ascii="Calibri" w:cs="Calibri" w:eastAsia="Calibri" w:hAnsi="Calibri"/>
          <w:sz w:val="22"/>
          <w:szCs w:val="22"/>
        </w:rPr>
        <w:t xml:space="preserve">Section 9, Phase 1 : “PDF natifs uniquement”, “Pas de vision en Phase 1”</w:t>
      </w:r>
    </w:p>
    <w:p>
      <w:pPr>
        <w:spacing w:after="120" w:before="0"/>
      </w:pPr>
      <w:r>
        <w:rPr>
          <w:rFonts w:ascii="Calibri" w:cs="Calibri" w:eastAsia="Calibri" w:hAnsi="Calibri"/>
          <w:sz w:val="22"/>
          <w:szCs w:val="22"/>
        </w:rPr>
        <w:t xml:space="preserve">Le client qui voit “JPEG, PNG” s’attend a un traitement automatique. En Phase 1, il ne l’obtiendra pas. Promesse implicite trompeuse.</w:t>
      </w:r>
    </w:p>
    <w:p>
      <w:pPr>
        <w:pStyle w:val="Heading3"/>
        <w:spacing w:after="120" w:before="160"/>
      </w:pPr>
      <w:r>
        <w:rPr>
          <w:rFonts w:ascii="Calibri" w:cs="Calibri" w:eastAsia="Calibri" w:hAnsi="Calibri"/>
          <w:b/>
          <w:bCs/>
          <w:color w:val="000d6e"/>
          <w:sz w:val="23"/>
          <w:szCs w:val="23"/>
        </w:rPr>
        <w:t xml:space="preserve">Decision V2.1 : Option B retenue</w:t>
      </w:r>
    </w:p>
    <w:p>
      <w:pPr>
        <w:spacing w:after="120" w:before="0"/>
      </w:pPr>
      <w:r>
        <w:rPr>
          <w:rFonts w:ascii="Calibri" w:cs="Calibri" w:eastAsia="Calibri" w:hAnsi="Calibri"/>
          <w:b/>
          <w:bCs/>
          <w:sz w:val="22"/>
          <w:szCs w:val="22"/>
        </w:rPr>
        <w:t xml:space="preserve">Phase 1 = PDF + images acceptees, mais images non traitees automatiquement.</w:t>
      </w:r>
    </w:p>
    <w:p>
      <w:pPr>
        <w:spacing w:after="120" w:before="0"/>
      </w:pPr>
      <w:r>
        <w:rPr>
          <w:rFonts w:ascii="Calibri" w:cs="Calibri" w:eastAsia="Calibri" w:hAnsi="Calibri"/>
          <w:sz w:val="22"/>
          <w:szCs w:val="22"/>
        </w:rPr>
        <w:t xml:space="preserve">L’option A (PDF uniquement) frustre les clients mobiles. L’option B accepte tout, detecte le type, et redirige honnetement vers la saisie manuelle si necessaire.</w:t>
      </w:r>
    </w:p>
    <w:p>
      <w:pPr>
        <w:pStyle w:val="Heading3"/>
        <w:spacing w:after="120" w:before="160"/>
      </w:pPr>
      <w:r>
        <w:rPr>
          <w:rFonts w:ascii="Calibri" w:cs="Calibri" w:eastAsia="Calibri" w:hAnsi="Calibri"/>
          <w:b/>
          <w:bCs/>
          <w:color w:val="000d6e"/>
          <w:sz w:val="23"/>
          <w:szCs w:val="23"/>
        </w:rPr>
        <w:t xml:space="preserve">Textes UX exacts [REWRITE]</w:t>
      </w:r>
    </w:p>
    <w:p>
      <w:pPr>
        <w:spacing w:after="120" w:before="0"/>
      </w:pPr>
      <w:r>
        <w:rPr>
          <w:rFonts w:ascii="Calibri" w:cs="Calibri" w:eastAsia="Calibri" w:hAnsi="Calibri"/>
          <w:b/>
          <w:bCs/>
          <w:sz w:val="22"/>
          <w:szCs w:val="22"/>
        </w:rPr>
        <w:t xml:space="preserve">Bouton d’upload :</w:t>
      </w:r>
    </w:p>
    <w:p>
      <w:pPr>
        <w:pBdr>
          <w:left w:val="single" w:color="000d6e" w:sz="6" w:space="8"/>
        </w:pBdr>
        <w:spacing w:after="120" w:before="60"/>
        <w:ind w:left="360"/>
      </w:pPr>
      <w:r>
        <w:rPr>
          <w:rFonts w:ascii="Calibri" w:cs="Calibri" w:eastAsia="Calibri" w:hAnsi="Calibri"/>
          <w:i/>
          <w:iCs/>
          <w:sz w:val="21"/>
          <w:szCs w:val="21"/>
        </w:rPr>
        <w:t xml:space="preserve">Importer votre document</w:t>
      </w:r>
    </w:p>
    <w:p>
      <w:pPr>
        <w:spacing w:after="120" w:before="0"/>
      </w:pPr>
      <w:r>
        <w:rPr>
          <w:rFonts w:ascii="Calibri" w:cs="Calibri" w:eastAsia="Calibri" w:hAnsi="Calibri"/>
          <w:b/>
          <w:bCs/>
          <w:sz w:val="22"/>
          <w:szCs w:val="22"/>
        </w:rPr>
        <w:t xml:space="preserve">Label :</w:t>
      </w:r>
    </w:p>
    <w:p>
      <w:pPr>
        <w:pBdr>
          <w:left w:val="single" w:color="000d6e" w:sz="6" w:space="8"/>
        </w:pBdr>
        <w:spacing w:after="120" w:before="60"/>
        <w:ind w:left="360"/>
      </w:pPr>
      <w:r>
        <w:rPr>
          <w:rFonts w:ascii="Calibri" w:cs="Calibri" w:eastAsia="Calibri" w:hAnsi="Calibri"/>
          <w:i/>
          <w:iCs/>
          <w:sz w:val="21"/>
          <w:szCs w:val="21"/>
        </w:rPr>
        <w:t xml:space="preserve">Formats acceptes : PDF (recommande), JPEG, PNG — 10 Mo maximum</w:t>
      </w:r>
    </w:p>
    <w:p>
      <w:pPr>
        <w:spacing w:after="120" w:before="0"/>
      </w:pPr>
      <w:r>
        <w:rPr>
          <w:rFonts w:ascii="Calibri" w:cs="Calibri" w:eastAsia="Calibri" w:hAnsi="Calibri"/>
          <w:b/>
          <w:bCs/>
          <w:sz w:val="22"/>
          <w:szCs w:val="22"/>
        </w:rPr>
        <w:t xml:space="preserve">Sous-texte d’aide :</w:t>
      </w:r>
    </w:p>
    <w:p>
      <w:pPr>
        <w:pBdr>
          <w:left w:val="single" w:color="000d6e" w:sz="6" w:space="8"/>
        </w:pBdr>
        <w:spacing w:after="120" w:before="60"/>
        <w:ind w:left="360"/>
      </w:pPr>
      <w:r>
        <w:rPr>
          <w:rFonts w:ascii="Calibri" w:cs="Calibri" w:eastAsia="Calibri" w:hAnsi="Calibri"/>
          <w:i/>
          <w:iCs/>
          <w:sz w:val="21"/>
          <w:szCs w:val="21"/>
        </w:rPr>
        <w:t xml:space="preserve">Pour une analyse automatique, importez de preference le PDF recu de votre assureur. Les photos de documents seront acceptees mais pourront necessiter une saisie complementaire.</w:t>
      </w:r>
    </w:p>
    <w:p>
      <w:pPr>
        <w:spacing w:after="120" w:before="0"/>
      </w:pPr>
      <w:r>
        <w:rPr>
          <w:rFonts w:ascii="Calibri" w:cs="Calibri" w:eastAsia="Calibri" w:hAnsi="Calibri"/>
          <w:b/>
          <w:bCs/>
          <w:sz w:val="22"/>
          <w:szCs w:val="22"/>
        </w:rPr>
        <w:t xml:space="preserve">Message systeme si document non exploitable automatiquement :</w:t>
      </w:r>
    </w:p>
    <w:p>
      <w:pPr>
        <w:pBdr>
          <w:left w:val="single" w:color="000d6e" w:sz="6" w:space="8"/>
        </w:pBdr>
        <w:spacing w:after="120" w:before="60"/>
        <w:ind w:left="360"/>
      </w:pPr>
      <w:r>
        <w:rPr>
          <w:rFonts w:ascii="Calibri" w:cs="Calibri" w:eastAsia="Calibri" w:hAnsi="Calibri"/>
          <w:i/>
          <w:iCs/>
          <w:sz w:val="21"/>
          <w:szCs w:val="21"/>
        </w:rPr>
        <w:t xml:space="preserve">Votre document n’a pas pu etre analyse automatiquement (format image ou document scanne). Vous pouvez : (1) Reessayer avec le PDF original de votre assureur (2) Completer manuellement les informations de votre contrat</w:t>
      </w:r>
    </w:p>
    <w:p>
      <w:pPr>
        <w:pStyle w:val="Heading2"/>
        <w:spacing w:after="160" w:before="200"/>
      </w:pPr>
      <w:r>
        <w:rPr>
          <w:rFonts w:ascii="Calibri" w:cs="Calibri" w:eastAsia="Calibri" w:hAnsi="Calibri"/>
          <w:b/>
          <w:bCs/>
          <w:color w:val="000d6e"/>
          <w:sz w:val="26"/>
          <w:szCs w:val="26"/>
        </w:rPr>
        <w:t xml:space="preserve">Sujet 3 — Position technologique revisee</w:t>
      </w:r>
    </w:p>
    <w:p>
      <w:pPr>
        <w:pStyle w:val="Heading3"/>
        <w:spacing w:after="120" w:before="160"/>
      </w:pPr>
      <w:r>
        <w:rPr>
          <w:rFonts w:ascii="Calibri" w:cs="Calibri" w:eastAsia="Calibri" w:hAnsi="Calibri"/>
          <w:b/>
          <w:bCs/>
          <w:color w:val="000d6e"/>
          <w:sz w:val="23"/>
          <w:szCs w:val="23"/>
        </w:rPr>
        <w:t xml:space="preserve">Fragilites identifiees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1000"/>
      </w:tblGrid>
      <w:tr>
        <w:trPr>
          <w:tblHeader/>
        </w:trPr>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Passage V2</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Probleme</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Marquage</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“C’est un probleme de pattern matching structure”</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Sous-estime la variabilite reelle des CP luxembourgeoises</w:t>
            </w:r>
          </w:p>
        </w:tc>
        <w:tc>
          <w:tcPr>
            <w:tcW w:type="dxa" w:w="10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pPr>
              <w:spacing w:after="0"/>
            </w:pPr>
            <w:r>
              <w:rPr>
                <w:rFonts w:ascii="Calibri" w:cs="Calibri" w:eastAsia="Calibri" w:hAnsi="Calibri"/>
                <w:b/>
                <w:bCs/>
                <w:color w:val="E65100"/>
                <w:sz w:val="20"/>
                <w:szCs w:val="20"/>
              </w:rPr>
              <w:t xml:space="preserve">CHANGE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“Maintenance dictionnaire : Nulle”</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Faux. Le prompt MRH est un artefact a maintenir</w:t>
            </w:r>
          </w:p>
        </w:tc>
        <w:tc>
          <w:tcPr>
            <w:tcW w:type="dxa" w:w="10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pPr>
              <w:spacing w:after="0"/>
            </w:pPr>
            <w:r>
              <w:rPr>
                <w:rFonts w:ascii="Calibri" w:cs="Calibri" w:eastAsia="Calibri" w:hAnsi="Calibri"/>
                <w:b/>
                <w:bCs/>
                <w:color w:val="E65100"/>
                <w:sz w:val="20"/>
                <w:szCs w:val="20"/>
              </w:rPr>
              <w:t xml:space="preserve">CHANGE</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“Pas de dictionnaire a maintenir : Mistral comprend nativement”</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Trop affirmatif. Peut echouer sur des formulations locales</w:t>
            </w:r>
          </w:p>
        </w:tc>
        <w:tc>
          <w:tcPr>
            <w:tcW w:type="dxa" w:w="10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pPr>
              <w:spacing w:after="0"/>
            </w:pPr>
            <w:r>
              <w:rPr>
                <w:rFonts w:ascii="Calibri" w:cs="Calibri" w:eastAsia="Calibri" w:hAnsi="Calibri"/>
                <w:b/>
                <w:bCs/>
                <w:color w:val="E65100"/>
                <w:sz w:val="20"/>
                <w:szCs w:val="20"/>
              </w:rPr>
              <w:t xml:space="preserve">CHANGE</w:t>
            </w:r>
          </w:p>
        </w:tc>
      </w:tr>
    </w:tbl>
    <w:p>
      <w:pPr>
        <w:pStyle w:val="Heading3"/>
        <w:spacing w:after="120" w:before="160"/>
      </w:pPr>
      <w:r>
        <w:rPr>
          <w:rFonts w:ascii="Calibri" w:cs="Calibri" w:eastAsia="Calibri" w:hAnsi="Calibri"/>
          <w:b/>
          <w:bCs/>
          <w:color w:val="000d6e"/>
          <w:sz w:val="23"/>
          <w:szCs w:val="23"/>
        </w:rPr>
        <w:t xml:space="preserve">Position techno revisee [REWRITE]</w:t>
      </w:r>
    </w:p>
    <w:p>
      <w:pPr>
        <w:pBdr>
          <w:left w:val="single" w:color="000d6e" w:sz="6" w:space="8"/>
        </w:pBdr>
        <w:spacing w:after="120" w:before="60"/>
        <w:ind w:left="360"/>
      </w:pPr>
      <w:r>
        <w:rPr>
          <w:rFonts w:ascii="Calibri" w:cs="Calibri" w:eastAsia="Calibri" w:hAnsi="Calibri"/>
          <w:i/>
          <w:iCs/>
          <w:sz w:val="21"/>
          <w:szCs w:val="21"/>
        </w:rPr>
        <w:t xml:space="preserve">L’Option B (pdf-parse + Mistral Large texte seul) reste la recommandation. Le scope MRH ferme (5 assureurs, 16 garanties, 2 langues) reduit considerablement la complexite par rapport a la V1, mais ne l’elimine pas. Les contrats MRH luxembourgeois presentent une heterogeneite reelle : conventions de presentation differentes, terminologie variable entre assureurs, champs parfois absents ou fusionnes. Le LLM remplace le dictionnaire de regles explicite, pas le besoin de normalisation. Le prompt MRH contient une table de mapping des 16 garanties avec leurs synonymes FR/DE connus. Ce prompt est un artefact a maintenir : revise a chaque ajout d’assureur et lors du monitoring mensuel. Ce n’est plus un probleme de comprehension ouverte du langage naturel, mais ce n’est pas non plus un simple pattern matching. C’est un probleme de structuration guidee avec supervision humaine legere.</w:t>
      </w:r>
    </w:p>
    <w:p>
      <w:pPr>
        <w:pStyle w:val="Heading3"/>
        <w:spacing w:after="120" w:before="160"/>
      </w:pPr>
      <w:r>
        <w:rPr>
          <w:rFonts w:ascii="Calibri" w:cs="Calibri" w:eastAsia="Calibri" w:hAnsi="Calibri"/>
          <w:b/>
          <w:bCs/>
          <w:color w:val="000d6e"/>
          <w:sz w:val="23"/>
          <w:szCs w:val="23"/>
        </w:rPr>
        <w:t xml:space="preserve">Automatise / Supervise / N’essaie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On automatise</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On supervise</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On n’essaie pas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Extraction texte brut via pdf-parse</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Taux de “non evaluable” par assureur (dashboard mensuel)</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Interpretation des Conditions Generales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Structuration JSON via Mistral (prompt directif)</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Taux de correction utilisateur par champ</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Extraction des exclusions ou baremes de vetuste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Validation schema via Zod (enum, bornes)</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Coherence extraction vs avis conseiller (20 cas/mois)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Detection automatique de la sous-assurance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Detection PDF natif vs scan</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Revue prompt trimestrielle (synonymes, formats)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Mapping automatique de champs inconnus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Classification MRH / non-MRH (rejet)</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Alertes hallucination (montant hors bornes)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Traitement de documents manuscrits</w:t>
            </w:r>
          </w:p>
        </w:tc>
      </w:tr>
    </w:tbl>
    <w:p>
      <w:pPr>
        <w:spacing w:after="60"/>
      </w:pPr>
    </w:p>
    <w:p>
      <w:pPr>
        <w:spacing w:after="120" w:before="0"/>
      </w:pPr>
      <w:r>
        <w:rPr>
          <w:rFonts w:ascii="Calibri" w:cs="Calibri" w:eastAsia="Calibri" w:hAnsi="Calibri"/>
          <w:b/>
          <w:bCs/>
          <w:sz w:val="22"/>
          <w:szCs w:val="22"/>
        </w:rPr>
        <w:t xml:space="preserve">Recommandation techno V2.1 : </w:t>
      </w:r>
      <w:r>
        <w:rPr>
          <w:rFonts w:ascii="Calibri" w:cs="Calibri" w:eastAsia="Calibri" w:hAnsi="Calibri"/>
          <w:sz w:val="22"/>
          <w:szCs w:val="22"/>
        </w:rPr>
        <w:t xml:space="preserve">L’Option B reste optimale. Le LLM est un accelerateur, pas un pilote automatique. Prevoir 0.5 jour/mois de maintenance du prompt MRH et du monitoring qualite.</w:t>
      </w:r>
    </w:p>
    <w:p>
      <w:pPr>
        <w:pStyle w:val="Heading2"/>
        <w:spacing w:after="160" w:before="200"/>
      </w:pPr>
      <w:r>
        <w:rPr>
          <w:rFonts w:ascii="Calibri" w:cs="Calibri" w:eastAsia="Calibri" w:hAnsi="Calibri"/>
          <w:b/>
          <w:bCs/>
          <w:color w:val="000d6e"/>
          <w:sz w:val="26"/>
          <w:szCs w:val="26"/>
        </w:rPr>
        <w:t xml:space="preserve">Sujet 4 — Seuils de qualite rehausses</w:t>
      </w:r>
    </w:p>
    <w:p>
      <w:pPr>
        <w:pStyle w:val="Heading3"/>
        <w:spacing w:after="120" w:before="160"/>
      </w:pPr>
      <w:r>
        <w:rPr>
          <w:rFonts w:ascii="Calibri" w:cs="Calibri" w:eastAsia="Calibri" w:hAnsi="Calibri"/>
          <w:b/>
          <w:bCs/>
          <w:color w:val="000d6e"/>
          <w:sz w:val="23"/>
          <w:szCs w:val="23"/>
        </w:rPr>
        <w:t xml:space="preserve">Fragilite identifiee</w:t>
      </w:r>
    </w:p>
    <w:p>
      <w:pPr>
        <w:spacing w:after="120" w:before="0"/>
      </w:pPr>
      <w:r>
        <w:rPr>
          <w:rFonts w:ascii="Calibri" w:cs="Calibri" w:eastAsia="Calibri" w:hAnsi="Calibri"/>
          <w:sz w:val="22"/>
          <w:szCs w:val="22"/>
        </w:rPr>
        <w:t xml:space="preserve">Le GO/NO-GO V2 repose sur “precision &gt;= 70% sur corpus 25 contrats”. Ce seuil unique est insuffisant : 70% = 30% d’erreurs sur un outil qui affiche des statuts a des clients. Un seul seuil global ne distingue pas les champs critiques des secondaires.</w:t>
      </w:r>
    </w:p>
    <w:p>
      <w:pPr>
        <w:pStyle w:val="Heading3"/>
        <w:spacing w:after="120" w:before="160"/>
      </w:pPr>
      <w:r>
        <w:rPr>
          <w:rFonts w:ascii="Calibri" w:cs="Calibri" w:eastAsia="Calibri" w:hAnsi="Calibri"/>
          <w:b/>
          <w:bCs/>
          <w:color w:val="000d6e"/>
          <w:sz w:val="23"/>
          <w:szCs w:val="23"/>
        </w:rPr>
        <w:t xml:space="preserve">Seuils V2.1 — 3 niveaux [REWRITE]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00"/>
        <w:gridCol w:w="1926"/>
      </w:tblGrid>
      <w:tr>
        <w:trPr>
          <w:tblHeader/>
        </w:trPr>
        <w:tc>
          <w:tcPr>
            <w:tcW w:type="dxa" w:w="2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KPI</w:t>
            </w:r>
          </w:p>
        </w:tc>
        <w:tc>
          <w:tcPr>
            <w:tcW w:type="dxa" w:w="1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Build interne</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Beta fermee (20 clients, 4 sem.)</w:t>
            </w:r>
          </w:p>
        </w:tc>
        <w:tc>
          <w:tcPr>
            <w:tcW w:type="dxa" w:w="19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Ouverture elargie</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Precision champs A (critiques)</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75%</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85%</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90%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Precision champs B (utiles)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60%</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70%</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80%</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Taux faux positifs “detecte”</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20%</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10%</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5%</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Taux “non evaluable” par garantie 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40%</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25%</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15%</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Coherence avec avis conseiller</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N/A</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75%</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85%</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Taux reclamation client</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N/A</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5%</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2%</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Taux correction utilisateur</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N/A</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30%</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15%</w:t>
            </w:r>
          </w:p>
        </w:tc>
      </w:tr>
    </w:tbl>
    <w:p>
      <w:pPr>
        <w:spacing w:after="60"/>
      </w:pPr>
    </w:p>
    <w:p>
      <w:pPr>
        <w:spacing w:after="120" w:before="0"/>
      </w:pPr>
      <w:r>
        <w:rPr>
          <w:rFonts w:ascii="Calibri" w:cs="Calibri" w:eastAsia="Calibri" w:hAnsi="Calibri"/>
          <w:b/>
          <w:bCs/>
          <w:sz w:val="22"/>
          <w:szCs w:val="22"/>
        </w:rPr>
        <w:t xml:space="preserve">Regles de passage :</w:t>
      </w:r>
    </w:p>
    <w:p>
      <w:pPr>
        <w:pStyle w:val="ListParagraph"/>
        <w:numPr>
          <w:ilvl w:val="0"/>
          <w:numId w:val="3"/>
        </w:numPr>
        <w:spacing w:after="60"/>
      </w:pPr>
      <w:r>
        <w:rPr>
          <w:rFonts w:ascii="Calibri" w:cs="Calibri" w:eastAsia="Calibri" w:hAnsi="Calibri"/>
          <w:b/>
          <w:bCs/>
          <w:sz w:val="22"/>
          <w:szCs w:val="22"/>
        </w:rPr>
        <w:t xml:space="preserve">Build → Beta : </w:t>
      </w:r>
      <w:r>
        <w:rPr>
          <w:rFonts w:ascii="Calibri" w:cs="Calibri" w:eastAsia="Calibri" w:hAnsi="Calibri"/>
          <w:sz w:val="22"/>
          <w:szCs w:val="22"/>
        </w:rPr>
        <w:t xml:space="preserve">tous seuils Build atteints + IDD validee + DPIA validee</w:t>
      </w:r>
    </w:p>
    <w:p>
      <w:pPr>
        <w:pStyle w:val="ListParagraph"/>
        <w:numPr>
          <w:ilvl w:val="0"/>
          <w:numId w:val="3"/>
        </w:numPr>
        <w:spacing w:after="60"/>
      </w:pPr>
      <w:r>
        <w:rPr>
          <w:rFonts w:ascii="Calibri" w:cs="Calibri" w:eastAsia="Calibri" w:hAnsi="Calibri"/>
          <w:b/>
          <w:bCs/>
          <w:sz w:val="22"/>
          <w:szCs w:val="22"/>
        </w:rPr>
        <w:t xml:space="preserve">Beta → Ouverture : </w:t>
      </w:r>
      <w:r>
        <w:rPr>
          <w:rFonts w:ascii="Calibri" w:cs="Calibri" w:eastAsia="Calibri" w:hAnsi="Calibri"/>
          <w:sz w:val="22"/>
          <w:szCs w:val="22"/>
        </w:rPr>
        <w:t xml:space="preserve">tous seuils Beta atteints pendant 4 semaines consecutives + zero incident critique</w:t>
      </w:r>
    </w:p>
    <w:p>
      <w:pPr>
        <w:pStyle w:val="ListParagraph"/>
        <w:numPr>
          <w:ilvl w:val="0"/>
          <w:numId w:val="3"/>
        </w:numPr>
        <w:spacing w:after="60"/>
      </w:pPr>
      <w:r>
        <w:rPr>
          <w:rFonts w:ascii="Calibri" w:cs="Calibri" w:eastAsia="Calibri" w:hAnsi="Calibri"/>
          <w:b/>
          <w:bCs/>
          <w:sz w:val="22"/>
          <w:szCs w:val="22"/>
        </w:rPr>
        <w:t xml:space="preserve">Si seuils Beta non atteints apres 6 semaines : </w:t>
      </w:r>
      <w:r>
        <w:rPr>
          <w:rFonts w:ascii="Calibri" w:cs="Calibri" w:eastAsia="Calibri" w:hAnsi="Calibri"/>
          <w:sz w:val="22"/>
          <w:szCs w:val="22"/>
        </w:rPr>
        <w:t xml:space="preserve">STOP, recalibration obligatoire, nouveau cycle beta</w:t>
      </w:r>
    </w:p>
    <w:p>
      <w:pPr>
        <w:spacing w:after="60"/>
      </w:pPr>
    </w:p>
    <w:p>
      <w:pPr>
        <w:spacing w:after="120" w:before="0"/>
      </w:pPr>
      <w:r>
        <w:rPr>
          <w:rFonts w:ascii="Calibri" w:cs="Calibri" w:eastAsia="Calibri" w:hAnsi="Calibri"/>
          <w:b/>
          <w:bCs/>
          <w:sz w:val="22"/>
          <w:szCs w:val="22"/>
        </w:rPr>
        <w:t xml:space="preserve">Go/No-Go Phase 1 V2.1 [REWRITE] : </w:t>
      </w:r>
      <w:r>
        <w:rPr>
          <w:rFonts w:ascii="Calibri" w:cs="Calibri" w:eastAsia="Calibri" w:hAnsi="Calibri"/>
          <w:sz w:val="22"/>
          <w:szCs w:val="22"/>
        </w:rPr>
        <w:t xml:space="preserve">CTA &gt; 10% ET IDD favorable ET DPIA validee ET precision champs A &gt;= 85% sur corpus pilote ET faux positifs &lt; 10% ET coherence conseiller &gt;= 75%.</w:t>
      </w:r>
    </w:p>
    <w:p>
      <w:pPr>
        <w:pStyle w:val="Heading2"/>
        <w:spacing w:after="160" w:before="200"/>
      </w:pPr>
      <w:r>
        <w:rPr>
          <w:rFonts w:ascii="Calibri" w:cs="Calibri" w:eastAsia="Calibri" w:hAnsi="Calibri"/>
          <w:b/>
          <w:bCs/>
          <w:color w:val="000d6e"/>
          <w:sz w:val="26"/>
          <w:szCs w:val="26"/>
        </w:rPr>
        <w:t xml:space="preserve">Sujet 5 — Corpus structure</w:t>
      </w:r>
    </w:p>
    <w:p>
      <w:pPr>
        <w:pStyle w:val="Heading3"/>
        <w:spacing w:after="120" w:before="160"/>
      </w:pPr>
      <w:r>
        <w:rPr>
          <w:rFonts w:ascii="Calibri" w:cs="Calibri" w:eastAsia="Calibri" w:hAnsi="Calibri"/>
          <w:b/>
          <w:bCs/>
          <w:color w:val="000d6e"/>
          <w:sz w:val="23"/>
          <w:szCs w:val="23"/>
        </w:rPr>
        <w:t xml:space="preserve">Fragilite identifiee</w:t>
      </w:r>
    </w:p>
    <w:p>
      <w:pPr>
        <w:spacing w:after="120" w:before="0"/>
      </w:pPr>
      <w:r>
        <w:rPr>
          <w:rFonts w:ascii="Calibri" w:cs="Calibri" w:eastAsia="Calibri" w:hAnsi="Calibri"/>
          <w:sz w:val="22"/>
          <w:szCs w:val="22"/>
        </w:rPr>
        <w:t xml:space="preserve">25 contrats = 5 contrats par assureur. Insuffisant pour couvrir les variantes (FR/DE, proprio/locataire, formule base/confort/premium). Intervalle de confiance trop large pour conclure.</w:t>
      </w:r>
    </w:p>
    <w:p>
      <w:pPr>
        <w:pStyle w:val="Heading3"/>
        <w:spacing w:after="120" w:before="160"/>
      </w:pPr>
      <w:r>
        <w:rPr>
          <w:rFonts w:ascii="Calibri" w:cs="Calibri" w:eastAsia="Calibri" w:hAnsi="Calibri"/>
          <w:b/>
          <w:bCs/>
          <w:color w:val="000d6e"/>
          <w:sz w:val="23"/>
          <w:szCs w:val="23"/>
        </w:rPr>
        <w:t xml:space="preserve">Trois niveaux de corpus [REWRITE]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1000"/>
        <w:gridCol w:w="3500"/>
      </w:tblGrid>
      <w:tr>
        <w:trPr>
          <w:tblHeader/>
        </w:trPr>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Niveau</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Objectif</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Taille</w:t>
            </w:r>
          </w:p>
        </w:tc>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Usage</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Calibration</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Developper et calibrer le prompt Mistral</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15-20</w:t>
            </w:r>
          </w:p>
        </w:tc>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Dev interne, iterations, tests unitaires</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Pilote</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Valider la qualite en conditions reelles</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30-40</w:t>
            </w:r>
          </w:p>
        </w:tc>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Beta fermee, mesure des seuils</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Go-live</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Autoriser l’ouverture elargie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50+</w:t>
            </w:r>
          </w:p>
        </w:tc>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Decision finale, couverture statistique</w:t>
            </w:r>
          </w:p>
        </w:tc>
      </w:tr>
    </w:tbl>
    <w:p>
      <w:pPr>
        <w:pStyle w:val="Heading3"/>
        <w:spacing w:after="120" w:before="160"/>
      </w:pPr>
      <w:r>
        <w:rPr>
          <w:rFonts w:ascii="Calibri" w:cs="Calibri" w:eastAsia="Calibri" w:hAnsi="Calibri"/>
          <w:b/>
          <w:bCs/>
          <w:color w:val="000d6e"/>
          <w:sz w:val="23"/>
          <w:szCs w:val="23"/>
        </w:rPr>
        <w:t xml:space="preserve">Plan d’echantillonnage — Corpus pilote (30-40 contrats)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Dimension</w:t>
            </w:r>
          </w:p>
        </w:tc>
        <w:tc>
          <w:tcPr>
            <w:tcW w:type="dxa" w:w="5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Repartition cible</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Baloise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8-10 contrats (source interne)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Foyer</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6-8 contrats</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La Luxembourgeoise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6-8 contrats</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AXA Luxembourg</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4-6 contrats</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Lalux</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4-6 contrats</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Langue FR</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60% du corpus</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Langue DE ou mixte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20% du corpus</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Proprietaire / Locataire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40% / &gt;= 30%</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Appartement / Maison</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40% / &gt;= 40%</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PDF natif propre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70%</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PDF natif complexe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20%</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Scan (test de rejet)</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3-5 documents</w:t>
            </w:r>
          </w:p>
        </w:tc>
      </w:tr>
    </w:tbl>
    <w:p>
      <w:pPr>
        <w:spacing w:after="60"/>
      </w:pPr>
    </w:p>
    <w:p>
      <w:pPr>
        <w:pBdr>
          <w:top w:val="single" w:color="D32F2F" w:sz="2"/>
          <w:bottom w:val="single" w:color="D32F2F" w:sz="2"/>
          <w:left w:val="single" w:color="D32F2F" w:sz="2"/>
          <w:right w:val="single" w:color="D32F2F" w:sz="2"/>
        </w:pBdr>
        <w:shd w:fill="FFEBEE" w:val="clear"/>
        <w:spacing w:after="80" w:before="80"/>
      </w:pPr>
      <w:r>
        <w:rPr>
          <w:rFonts w:ascii="Calibri" w:cs="Calibri" w:eastAsia="Calibri" w:hAnsi="Calibri"/>
          <w:b/>
          <w:bCs/>
          <w:color w:val="D32F2F"/>
          <w:sz w:val="21"/>
          <w:szCs w:val="21"/>
        </w:rPr>
        <w:t xml:space="preserve">En dessous de 30 contrats annotes couvrant au moins 4 assureurs sur 5, on ne peut pas conclure sur la precision d’extraction. En dessous de 50 contrats, on ne peut pas autoriser une ouverture elargie.</w:t>
      </w:r>
    </w:p>
    <w:p>
      <w:pPr>
        <w:pStyle w:val="Heading2"/>
        <w:spacing w:after="160" w:before="200"/>
      </w:pPr>
      <w:r>
        <w:rPr>
          <w:rFonts w:ascii="Calibri" w:cs="Calibri" w:eastAsia="Calibri" w:hAnsi="Calibri"/>
          <w:b/>
          <w:bCs/>
          <w:color w:val="000d6e"/>
          <w:sz w:val="26"/>
          <w:szCs w:val="26"/>
        </w:rPr>
        <w:t xml:space="preserve">Sujet 6 — Libelles client : remplacement de “couvert”</w:t>
      </w:r>
    </w:p>
    <w:p>
      <w:pPr>
        <w:pStyle w:val="Heading3"/>
        <w:spacing w:after="120" w:before="160"/>
      </w:pPr>
      <w:r>
        <w:rPr>
          <w:rFonts w:ascii="Calibri" w:cs="Calibri" w:eastAsia="Calibri" w:hAnsi="Calibri"/>
          <w:b/>
          <w:bCs/>
          <w:color w:val="000d6e"/>
          <w:sz w:val="23"/>
          <w:szCs w:val="23"/>
        </w:rPr>
        <w:t xml:space="preserve">Fragilite identifiee</w:t>
      </w:r>
    </w:p>
    <w:p>
      <w:pPr>
        <w:spacing w:after="120" w:before="0"/>
      </w:pPr>
      <w:r>
        <w:rPr>
          <w:rFonts w:ascii="Calibri" w:cs="Calibri" w:eastAsia="Calibri" w:hAnsi="Calibri"/>
          <w:sz w:val="22"/>
          <w:szCs w:val="22"/>
        </w:rPr>
        <w:t xml:space="preserve">Le mot “couvert” reste trop affirmatif pour un outil d’extraction automatique. Un client qui lit “couvert” comprend “je suis protege”. En cas de sinistre non pris en charge, le risque reputationnel et juridique est maximal.</w:t>
      </w:r>
    </w:p>
    <w:p>
      <w:pPr>
        <w:pStyle w:val="Heading3"/>
        <w:spacing w:after="120" w:before="160"/>
      </w:pPr>
      <w:r>
        <w:rPr>
          <w:rFonts w:ascii="Calibri" w:cs="Calibri" w:eastAsia="Calibri" w:hAnsi="Calibri"/>
          <w:b/>
          <w:bCs/>
          <w:color w:val="000d6e"/>
          <w:sz w:val="23"/>
          <w:szCs w:val="23"/>
        </w:rPr>
        <w:t xml:space="preserve">Analyse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Critere</w:t>
            </w:r>
          </w:p>
        </w:tc>
        <w:tc>
          <w:tcPr>
            <w:tcW w:type="dxa" w:w="3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Option A : couvert / gap</w:t>
            </w:r>
          </w:p>
        </w:tc>
        <w:tc>
          <w:tcPr>
            <w:tcW w:type="dxa" w:w="3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Option B : detecte / non detecte</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Risque juridique</w:t>
            </w:r>
          </w:p>
        </w:tc>
        <w:tc>
          <w:tcPr>
            <w:tcW w:type="dxa" w:w="3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MOYEN — “couvert” peut etre lu comme un avis IDD</w:t>
            </w:r>
          </w:p>
        </w:tc>
        <w:tc>
          <w:tcPr>
            <w:tcW w:type="dxa" w:w="3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FAIBLE — “detecte” est factuel, constate une presence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Risque reputationnel</w:t>
            </w:r>
          </w:p>
        </w:tc>
        <w:tc>
          <w:tcPr>
            <w:tcW w:type="dxa" w:w="3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ELEVE — titre possible : “Baloise disait couvert”</w:t>
            </w:r>
          </w:p>
        </w:tc>
        <w:tc>
          <w:tcPr>
            <w:tcW w:type="dxa" w:w="3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FAIBLE — “Baloise avait detecte la mention” est defensible</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Impact commercial</w:t>
            </w:r>
          </w:p>
        </w:tc>
        <w:tc>
          <w:tcPr>
            <w:tcW w:type="dxa" w:w="3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Fort — rassure, incite moins au RDV</w:t>
            </w:r>
          </w:p>
        </w:tc>
        <w:tc>
          <w:tcPr>
            <w:tcW w:type="dxa" w:w="3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Bon — cree une raison naturelle de consulter un conseiller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Comprehension client</w:t>
            </w:r>
          </w:p>
        </w:tc>
        <w:tc>
          <w:tcPr>
            <w:tcW w:type="dxa" w:w="3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Bonne mais dangereuse — conclut a tort qu’il est protege</w:t>
            </w:r>
          </w:p>
        </w:tc>
        <w:tc>
          <w:tcPr>
            <w:tcW w:type="dxa" w:w="3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Bonne et prudente — comprend que l’outil a trouve une info</w:t>
            </w:r>
          </w:p>
        </w:tc>
      </w:tr>
    </w:tbl>
    <w:p>
      <w:pPr>
        <w:spacing w:after="60"/>
      </w:pPr>
    </w:p>
    <w:p>
      <w:pPr>
        <w:pStyle w:val="Heading3"/>
        <w:spacing w:after="120" w:before="160"/>
      </w:pPr>
      <w:r>
        <w:rPr>
          <w:rFonts w:ascii="Calibri" w:cs="Calibri" w:eastAsia="Calibri" w:hAnsi="Calibri"/>
          <w:b/>
          <w:bCs/>
          <w:color w:val="000d6e"/>
          <w:sz w:val="23"/>
          <w:szCs w:val="23"/>
        </w:rPr>
        <w:t xml:space="preserve">Recommandation V2.1 : Option B retenue</w:t>
      </w:r>
    </w:p>
    <w:p>
      <w:pPr>
        <w:spacing w:after="120" w:before="0"/>
      </w:pPr>
      <w:r>
        <w:rPr>
          <w:rFonts w:ascii="Calibri" w:cs="Calibri" w:eastAsia="Calibri" w:hAnsi="Calibri"/>
          <w:b/>
          <w:bCs/>
          <w:sz w:val="22"/>
          <w:szCs w:val="22"/>
        </w:rPr>
        <w:t xml:space="preserve">Le gain en securite juridique et reputationnelle depasse largement le cout commercial marginal.</w:t>
      </w:r>
    </w:p>
    <w:p>
      <w:pPr>
        <w:pStyle w:val="Heading3"/>
        <w:spacing w:after="120" w:before="160"/>
      </w:pPr>
      <w:r>
        <w:rPr>
          <w:rFonts w:ascii="Calibri" w:cs="Calibri" w:eastAsia="Calibri" w:hAnsi="Calibri"/>
          <w:b/>
          <w:bCs/>
          <w:color w:val="000d6e"/>
          <w:sz w:val="23"/>
          <w:szCs w:val="23"/>
        </w:rPr>
        <w:t xml:space="preserve">Libelles exacts finaux [REWRITE]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000"/>
        <w:gridCol w:w="1526"/>
      </w:tblGrid>
      <w:tr>
        <w:trPr>
          <w:tblHeader/>
        </w:trPr>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Statut code</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Libelle FR</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Libelle DE</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Icone</w:t>
            </w:r>
          </w:p>
        </w:tc>
        <w:tc>
          <w:tcPr>
            <w:tcW w:type="dxa" w:w="1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Couleur</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detected</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Detecte dans votre contrat</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 Ihrem Vertrag erkannt</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Check</w:t>
            </w:r>
          </w:p>
        </w:tc>
        <w:tc>
          <w:tcPr>
            <w:tcW w:type="dxa" w:w="1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Ambre</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partial</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Detecte avec reserve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Mit Vorbehalt erkannt</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Triangle</w:t>
            </w:r>
          </w:p>
        </w:tc>
        <w:tc>
          <w:tcPr>
            <w:tcW w:type="dxa" w:w="1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Ambre fonce</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not_detected</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 detecte dans ce document</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 diesem Dokument nicht erkannt</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Croix</w:t>
            </w:r>
          </w:p>
        </w:tc>
        <w:tc>
          <w:tcPr>
            <w:tcW w:type="dxa" w:w="1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Rouge doux</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not_evaluable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 evaluable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Nicht bewertbar</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w:t>
            </w:r>
          </w:p>
        </w:tc>
        <w:tc>
          <w:tcPr>
            <w:tcW w:type="dxa" w:w="1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Gris</w:t>
            </w:r>
          </w:p>
        </w:tc>
      </w:tr>
    </w:tbl>
    <w:p>
      <w:pPr>
        <w:spacing w:after="60"/>
      </w:pPr>
    </w:p>
    <w:p>
      <w:pPr>
        <w:spacing w:after="120" w:before="0"/>
      </w:pPr>
      <w:r>
        <w:rPr>
          <w:rFonts w:ascii="Calibri" w:cs="Calibri" w:eastAsia="Calibri" w:hAnsi="Calibri"/>
          <w:b/>
          <w:bCs/>
          <w:sz w:val="22"/>
          <w:szCs w:val="22"/>
        </w:rPr>
        <w:t xml:space="preserve">Phrases d’accompagnement :</w:t>
      </w:r>
    </w:p>
    <w:p>
      <w:pPr>
        <w:pStyle w:val="ListParagraph"/>
        <w:numPr>
          <w:ilvl w:val="0"/>
          <w:numId w:val="3"/>
        </w:numPr>
        <w:spacing w:after="60"/>
      </w:pPr>
      <w:r>
        <w:rPr>
          <w:rFonts w:ascii="Calibri" w:cs="Calibri" w:eastAsia="Calibri" w:hAnsi="Calibri"/>
          <w:b/>
          <w:bCs/>
          <w:sz w:val="22"/>
          <w:szCs w:val="22"/>
        </w:rPr>
        <w:t xml:space="preserve">Detecte : </w:t>
      </w:r>
      <w:r>
        <w:rPr>
          <w:rFonts w:ascii="Calibri" w:cs="Calibri" w:eastAsia="Calibri" w:hAnsi="Calibri"/>
          <w:sz w:val="22"/>
          <w:szCs w:val="22"/>
        </w:rPr>
        <w:t xml:space="preserve">“Cette garantie semble presente dans votre contrat. Verifiez les conditions exactes avec votre conseiller.”</w:t>
      </w:r>
    </w:p>
    <w:p>
      <w:pPr>
        <w:pStyle w:val="ListParagraph"/>
        <w:numPr>
          <w:ilvl w:val="0"/>
          <w:numId w:val="3"/>
        </w:numPr>
        <w:spacing w:after="60"/>
      </w:pPr>
      <w:r>
        <w:rPr>
          <w:rFonts w:ascii="Calibri" w:cs="Calibri" w:eastAsia="Calibri" w:hAnsi="Calibri"/>
          <w:b/>
          <w:bCs/>
          <w:sz w:val="22"/>
          <w:szCs w:val="22"/>
        </w:rPr>
        <w:t xml:space="preserve">Avec reserve : </w:t>
      </w:r>
      <w:r>
        <w:rPr>
          <w:rFonts w:ascii="Calibri" w:cs="Calibri" w:eastAsia="Calibri" w:hAnsi="Calibri"/>
          <w:sz w:val="22"/>
          <w:szCs w:val="22"/>
        </w:rPr>
        <w:t xml:space="preserve">“Cette garantie semble presente mais un ecart possible a ete identifie (franchise, plafond ou sous-limite).”</w:t>
      </w:r>
    </w:p>
    <w:p>
      <w:pPr>
        <w:pStyle w:val="ListParagraph"/>
        <w:numPr>
          <w:ilvl w:val="0"/>
          <w:numId w:val="3"/>
        </w:numPr>
        <w:spacing w:after="60"/>
      </w:pPr>
      <w:r>
        <w:rPr>
          <w:rFonts w:ascii="Calibri" w:cs="Calibri" w:eastAsia="Calibri" w:hAnsi="Calibri"/>
          <w:b/>
          <w:bCs/>
          <w:sz w:val="22"/>
          <w:szCs w:val="22"/>
        </w:rPr>
        <w:t xml:space="preserve">Non detecte : </w:t>
      </w:r>
      <w:r>
        <w:rPr>
          <w:rFonts w:ascii="Calibri" w:cs="Calibri" w:eastAsia="Calibri" w:hAnsi="Calibri"/>
          <w:sz w:val="22"/>
          <w:szCs w:val="22"/>
        </w:rPr>
        <w:t xml:space="preserve">“Nous n’avons pas identifie cette garantie dans votre document. Cela ne signifie pas necessairement qu’elle est absente de votre contrat.”</w:t>
      </w:r>
    </w:p>
    <w:p>
      <w:pPr>
        <w:pStyle w:val="ListParagraph"/>
        <w:numPr>
          <w:ilvl w:val="0"/>
          <w:numId w:val="3"/>
        </w:numPr>
        <w:spacing w:after="60"/>
      </w:pPr>
      <w:r>
        <w:rPr>
          <w:rFonts w:ascii="Calibri" w:cs="Calibri" w:eastAsia="Calibri" w:hAnsi="Calibri"/>
          <w:b/>
          <w:bCs/>
          <w:sz w:val="22"/>
          <w:szCs w:val="22"/>
        </w:rPr>
        <w:t xml:space="preserve">Non evaluable : </w:t>
      </w:r>
      <w:r>
        <w:rPr>
          <w:rFonts w:ascii="Calibri" w:cs="Calibri" w:eastAsia="Calibri" w:hAnsi="Calibri"/>
          <w:sz w:val="22"/>
          <w:szCs w:val="22"/>
        </w:rPr>
        <w:t xml:space="preserve">“L’information n’a pas pu etre extraite de maniere fiable. Consultez votre contrat ou votre conseiller.”</w:t>
      </w:r>
    </w:p>
    <w:p>
      <w:pPr>
        <w:spacing w:after="120" w:before="0"/>
      </w:pPr>
      <w:r>
        <w:rPr>
          <w:rFonts w:ascii="Calibri" w:cs="Calibri" w:eastAsia="Calibri" w:hAnsi="Calibri"/>
          <w:b/>
          <w:bCs/>
          <w:sz w:val="22"/>
          <w:szCs w:val="22"/>
        </w:rPr>
        <w:t xml:space="preserve">Impact TypeScript [CHANGE] : </w:t>
      </w:r>
      <w:r>
        <w:rPr>
          <w:rFonts w:ascii="Calibri" w:cs="Calibri" w:eastAsia="Calibri" w:hAnsi="Calibri"/>
          <w:sz w:val="22"/>
          <w:szCs w:val="22"/>
        </w:rPr>
        <w:t xml:space="preserve">AdequacyStatus = 'detected' | 'partial' | 'not_detected' | 'not_evaluable'</w:t>
      </w:r>
    </w:p>
    <w:p>
      <w:pPr>
        <w:pStyle w:val="Heading1"/>
        <w:pageBreakBefore/>
        <w:spacing w:after="200" w:before="240"/>
      </w:pPr>
      <w:r>
        <w:rPr>
          <w:rFonts w:ascii="Calibri" w:cs="Calibri" w:eastAsia="Calibri" w:hAnsi="Calibri"/>
          <w:b/>
          <w:bCs/>
          <w:color w:val="000d6e"/>
          <w:sz w:val="32"/>
          <w:szCs w:val="32"/>
        </w:rPr>
        <w:t xml:space="preserve">PARTIE 3 — Recapitulatif des marquages</w:t>
      </w:r>
    </w:p>
    <w:p>
      <w:pPr>
        <w:pStyle w:val="Heading2"/>
        <w:spacing w:after="160" w:before="200"/>
      </w:pPr>
      <w:r>
        <w:rPr>
          <w:rFonts w:ascii="Calibri" w:cs="Calibri" w:eastAsia="Calibri" w:hAnsi="Calibri"/>
          <w:b/>
          <w:bCs/>
          <w:color w:val="000d6e"/>
          <w:sz w:val="26"/>
          <w:szCs w:val="26"/>
        </w:rPr>
        <w:t xml:space="preserve">Sections KEEP (confirmees sans changement)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Section V2</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Statut</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2. Definition stricte du perimetre (16 garanties MRH)</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3.1 Proposition de valeur</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3.2 Wordings CTA (“Faites le point”)</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3.3 Insertion dans la Roue des Besoins</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4.1 Position IDD (comparaison informative niveau b)</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4.2 Impact RGPD (art. 9 non applicable)</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4.3 Impact AI Act (MRH exclue)</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4.4 Disclaimers (sous reserve validation juridique)</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4.5 Formulations interdites (liste des 10)</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4.6 Points validation juridique (5 questions)</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5.3 Hierarchie des champs (niveaux A/B/C/D)</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5.4 Sous-assurance (approche prudente)</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6. Referentiel metier (16 garanties)</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r>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7.2 Decisions tranchees (5 decisions)</w:t>
            </w:r>
          </w:p>
        </w:tc>
        <w:tc>
          <w:tcPr>
            <w:tcW w:type="dxa" w:w="20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tcPr>
          <w:p>
            <w:pPr>
              <w:spacing w:after="0"/>
            </w:pPr>
            <w:r>
              <w:rPr>
                <w:rFonts w:ascii="Calibri" w:cs="Calibri" w:eastAsia="Calibri" w:hAnsi="Calibri"/>
                <w:b/>
                <w:bCs/>
                <w:color w:val="168741"/>
                <w:sz w:val="20"/>
                <w:szCs w:val="20"/>
              </w:rPr>
              <w:t xml:space="preserve">KEEP</w:t>
            </w:r>
          </w:p>
        </w:tc>
      </w:tr>
    </w:tbl>
    <w:p>
      <w:pPr>
        <w:pStyle w:val="Heading2"/>
        <w:spacing w:after="160" w:before="200"/>
      </w:pPr>
      <w:r>
        <w:rPr>
          <w:rFonts w:ascii="Calibri" w:cs="Calibri" w:eastAsia="Calibri" w:hAnsi="Calibri"/>
          <w:b/>
          <w:bCs/>
          <w:color w:val="000d6e"/>
          <w:sz w:val="26"/>
          <w:szCs w:val="26"/>
        </w:rPr>
        <w:t xml:space="preserve">Sections CHANGE (correction ponctuelle)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Passage V2</w:t>
            </w:r>
          </w:p>
        </w:tc>
        <w:tc>
          <w:tcPr>
            <w:tcW w:type="dxa" w:w="5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Changement</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5.1 Tableau des 4 statuts</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couvert → detecte, gap → non detecte</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5.2 En-tetes seuils</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“couvert” → “detecte”</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7.3 UX de l’incertitude</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Adapter aux nouveaux libelles</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8.2 Tableau, ligne maintenance</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“Nulle” → “Legere (prompt, revue trim.)”</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8.4 AdequacyStatus</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covered → detected, gap → not_detected</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10. R1 faux positifs</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“couvert” → “detecte”</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12. Corpus</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25 → 50, +3 jours, +3 jours annotation</w:t>
            </w:r>
          </w:p>
        </w:tc>
      </w:tr>
    </w:tbl>
    <w:p>
      <w:pPr>
        <w:pStyle w:val="Heading2"/>
        <w:spacing w:after="160" w:before="200"/>
      </w:pPr>
      <w:r>
        <w:rPr>
          <w:rFonts w:ascii="Calibri" w:cs="Calibri" w:eastAsia="Calibri" w:hAnsi="Calibri"/>
          <w:b/>
          <w:bCs/>
          <w:color w:val="000d6e"/>
          <w:sz w:val="26"/>
          <w:szCs w:val="26"/>
        </w:rPr>
        <w:t xml:space="preserve">Sections REWRITE (paragraphe entier remplace)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Passage V2</w:t>
            </w:r>
          </w:p>
        </w:tc>
        <w:tc>
          <w:tcPr>
            <w:tcW w:type="dxa" w:w="5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Remplacement V2.1</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Section 1, “dev peut commencer sur l’UI”</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Reformulation 5 lignes (Sujet 1)</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Section 7.1 etape 2, “PDF, JPEG, PNG”</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Textes UX exacts (Sujet 2)</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Section 8.1, “pattern matching structure”</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Position techno revisee (Sujet 3)</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Section 8.3 point 4, “pas de dictionnaire”</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Integre dans position techno (Sujet 3)</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Section 9, GO/NO-GO Phase 1</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Seuils 3 niveaux (Sujet 4)</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Section 11.2, KPIs extraction</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Tableau 3 niveaux (Sujet 4)</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Section 13, Decision CPO</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Reformulation avec seuils V2.1 (Sujet 4)</w:t>
            </w:r>
          </w:p>
        </w:tc>
      </w:tr>
    </w:tbl>
    <w:p>
      <w:pPr>
        <w:spacing w:after="60"/>
      </w:pPr>
    </w:p>
    <w:p>
      <w:pPr>
        <w:spacing w:after="120" w:before="0"/>
      </w:pPr>
      <w:r>
        <w:rPr>
          <w:rFonts w:ascii="Calibri" w:cs="Calibri" w:eastAsia="Calibri" w:hAnsi="Calibri"/>
          <w:b/>
          <w:bCs/>
          <w:sz w:val="22"/>
          <w:szCs w:val="22"/>
        </w:rPr>
        <w:t xml:space="preserve">Sections DELETE : </w:t>
      </w:r>
      <w:r>
        <w:rPr>
          <w:rFonts w:ascii="Calibri" w:cs="Calibri" w:eastAsia="Calibri" w:hAnsi="Calibri"/>
          <w:sz w:val="22"/>
          <w:szCs w:val="22"/>
        </w:rPr>
        <w:t xml:space="preserve">aucune suppression. Le scope V2 est integralement maintenu.</w:t>
      </w:r>
    </w:p>
    <w:p>
      <w:pPr>
        <w:pStyle w:val="Heading1"/>
        <w:pageBreakBefore/>
        <w:spacing w:after="200" w:before="240"/>
      </w:pPr>
      <w:r>
        <w:rPr>
          <w:rFonts w:ascii="Calibri" w:cs="Calibri" w:eastAsia="Calibri" w:hAnsi="Calibri"/>
          <w:b/>
          <w:bCs/>
          <w:color w:val="000d6e"/>
          <w:sz w:val="32"/>
          <w:szCs w:val="32"/>
        </w:rPr>
        <w:t xml:space="preserve">PARTIE 4 — Recommandation finale CPO</w:t>
      </w:r>
    </w:p>
    <w:p>
      <w:pPr>
        <w:spacing w:after="120" w:before="0"/>
      </w:pPr>
      <w:r>
        <w:rPr>
          <w:rFonts w:ascii="Calibri" w:cs="Calibri" w:eastAsia="Calibri" w:hAnsi="Calibri"/>
          <w:sz w:val="22"/>
          <w:szCs w:val="22"/>
        </w:rPr>
        <w:t xml:space="preserve">La V2.1 confirme le GO CONDITIONNEL sur le perimetre MRH Luxembourg. Six fragilites ont ete corrigees : la matrice IDD est desambiguisee, les formats UX sont realignes avec la strategie Phase 1, la position techno est honnete sur les besoins de supervision, les seuils de qualite sont rehausses a des niveaux credibles pour une exposition client, le corpus passe a 50 contrats structures, et le mot “couvert” est remplace par “detecte dans votre contrat”.</w:t>
      </w:r>
    </w:p>
    <w:p>
      <w:pPr>
        <w:pBdr>
          <w:top w:val="single" w:color="000d6e" w:sz="3"/>
          <w:bottom w:val="single" w:color="000d6e" w:sz="3"/>
          <w:left w:val="single" w:color="000d6e" w:sz="3"/>
          <w:right w:val="single" w:color="000d6e" w:sz="3"/>
        </w:pBdr>
        <w:shd w:fill="E8EAF6" w:val="clear"/>
        <w:spacing w:after="160" w:before="160"/>
      </w:pPr>
      <w:r>
        <w:rPr>
          <w:rFonts w:ascii="Calibri" w:cs="Calibri" w:eastAsia="Calibri" w:hAnsi="Calibri"/>
          <w:b/>
          <w:bCs/>
          <w:color w:val="000d6e"/>
          <w:sz w:val="22"/>
          <w:szCs w:val="22"/>
        </w:rPr>
        <w:t xml:space="preserve">Decision CPO V2.1 : Lancer Phase 0 (CTA factice) + dev backend + ecran d’upload immediatement. Bloquer l’ecran de restitution et les wordings jusqu’a validation IDD. Constituer le corpus de 50 contrats en parallele. Go beta fermee uniquement si precision champs A &gt;= 85%, faux positifs &lt; 10%, coherence conseiller &gt;= 75%.</w:t>
      </w:r>
    </w:p>
    <w:p>
      <w:pPr>
        <w:spacing w:after="60"/>
      </w:pPr>
    </w:p>
    <w:p>
      <w:pPr>
        <w:spacing w:after="120" w:before="0"/>
      </w:pPr>
      <w:r>
        <w:rPr>
          <w:rFonts w:ascii="Calibri" w:cs="Calibri" w:eastAsia="Calibri" w:hAnsi="Calibri"/>
          <w:b/>
          <w:bCs/>
          <w:sz w:val="22"/>
          <w:szCs w:val="22"/>
        </w:rPr>
        <w:t xml:space="preserve">Budget V2.1 : </w:t>
      </w:r>
      <w:r>
        <w:rPr>
          <w:rFonts w:ascii="Calibri" w:cs="Calibri" w:eastAsia="Calibri" w:hAnsi="Calibri"/>
          <w:sz w:val="22"/>
          <w:szCs w:val="22"/>
        </w:rPr>
        <w:t xml:space="preserve">8-9 semaines dev (1 developpeur, +3 jours corpus) + 8-15 EUR/mois API Mistral + 0.5 jour/mois maintenance prompt.</w:t>
      </w:r>
    </w:p>
    <w:p>
      <w:pPr>
        <w:spacing w:after="100"/>
      </w:pPr>
    </w:p>
    <w:p>
      <w:pPr>
        <w:pBdr>
          <w:top w:val="single" w:color="168741" w:sz="3"/>
          <w:bottom w:val="single" w:color="168741" w:sz="3"/>
          <w:left w:val="single" w:color="168741" w:sz="3"/>
          <w:right w:val="single" w:color="168741" w:sz="3"/>
        </w:pBdr>
        <w:shd w:fill="E8F5E9" w:val="clear"/>
        <w:spacing w:after="80" w:before="160"/>
        <w:jc w:val="center"/>
      </w:pPr>
      <w:r>
        <w:rPr>
          <w:rFonts w:ascii="Calibri" w:cs="Calibri" w:eastAsia="Calibri" w:hAnsi="Calibri"/>
          <w:b/>
          <w:bCs/>
          <w:color w:val="168741"/>
          <w:sz w:val="24"/>
          <w:szCs w:val="24"/>
        </w:rPr>
        <w:t xml:space="preserve">La V2.1 est suffisamment robuste pour etre presentee comme base d’arbitrage finale. Aucun tour supplementaire n’est requis.</w:t>
      </w:r>
    </w:p>
    <w:p>
      <w:pPr>
        <w:spacing w:after="200"/>
      </w:pPr>
    </w:p>
    <w:p>
      <w:pPr>
        <w:pBdr>
          <w:top w:val="single" w:color="BDBDBD" w:sz="1" w:space="12"/>
        </w:pBdr>
        <w:jc w:val="center"/>
      </w:pPr>
      <w:r>
        <w:rPr>
          <w:rFonts w:ascii="Calibri" w:cs="Calibri" w:eastAsia="Calibri" w:hAnsi="Calibri"/>
          <w:i/>
          <w:iCs/>
          <w:color w:val="999999"/>
          <w:sz w:val="18"/>
          <w:szCs w:val="18"/>
        </w:rPr>
        <w:t xml:space="preserve">Correctif etabli le 28 mars 2026 par le college des 14 agents specialises.</w:t>
      </w:r>
    </w:p>
    <w:p>
      <w:pPr>
        <w:jc w:val="center"/>
      </w:pPr>
      <w:r>
        <w:rPr>
          <w:rFonts w:ascii="Calibri" w:cs="Calibri" w:eastAsia="Calibri" w:hAnsi="Calibri"/>
          <w:i/>
          <w:iCs/>
          <w:color w:val="999999"/>
          <w:sz w:val="18"/>
          <w:szCs w:val="18"/>
        </w:rPr>
        <w:t xml:space="preserve">Ce document se lit conjointement avec la Note Collegiale V2.0 qu’il corrige sur les 6 sujets traites.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Correctif V2.1 — Adequation HOME — Baloise Luxembourg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00d6e"/>
      <w:sz w:val="32"/>
      <w:szCs w:val="32"/>
    </w:rPr>
  </w:style>
  <w:style w:type="paragraph" w:styleId="Heading2">
    <w:name w:val="Heading 2"/>
    <w:basedOn w:val="Normal"/>
    <w:next w:val="Normal"/>
    <w:qFormat/>
    <w:pPr>
      <w:spacing w:after="160" w:before="200"/>
      <w:outlineLvl w:val="1"/>
    </w:pPr>
    <w:rPr>
      <w:rFonts w:ascii="Calibri" w:cs="Calibri" w:eastAsia="Calibri" w:hAnsi="Calibri"/>
      <w:b/>
      <w:bCs/>
      <w:color w:val="000d6e"/>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000d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2026-03-28T13:26:55.345Z</dcterms:created>
  <dcterms:modified xsi:type="dcterms:W3CDTF">2026-03-28T13:26:55.355Z</dcterms:modified>
</cp:coreProperties>
</file>

<file path=docProps/custom.xml><?xml version="1.0" encoding="utf-8"?>
<Properties xmlns="http://schemas.openxmlformats.org/officeDocument/2006/custom-properties" xmlns:vt="http://schemas.openxmlformats.org/officeDocument/2006/docPropsVTypes"/>
</file>