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0"/>
      </w:pPr>
    </w:p>
    <w:p>
      <w:pPr>
        <w:spacing w:after="200"/>
        <w:jc w:val="center"/>
      </w:pPr>
      <w:r>
        <w:rPr>
          <w:rFonts w:ascii="Calibri" w:cs="Calibri" w:eastAsia="Calibri" w:hAnsi="Calibri"/>
          <w:b/>
          <w:bCs/>
          <w:color w:val="000d6e"/>
          <w:sz w:val="52"/>
          <w:szCs w:val="52"/>
        </w:rPr>
        <w:t xml:space="preserve">NOTE COLLEGIALE V2.1 CONSOLIDEE</w:t>
      </w:r>
    </w:p>
    <w:p>
      <w:pPr>
        <w:pBdr>
          <w:bottom w:val="single" w:color="000d6e" w:sz="6" w:space="12"/>
        </w:pBdr>
        <w:spacing w:after="100"/>
        <w:jc w:val="center"/>
      </w:pPr>
      <w:r>
        <w:rPr>
          <w:rFonts w:ascii="Calibri" w:cs="Calibri" w:eastAsia="Calibri" w:hAnsi="Calibri"/>
          <w:color w:val="000d6e"/>
          <w:sz w:val="30"/>
          <w:szCs w:val="30"/>
        </w:rPr>
        <w:t xml:space="preserve">Adequation Contrats — Protection des Biens (HOME)</w:t>
      </w:r>
    </w:p>
    <w:p>
      <w:pPr>
        <w:spacing w:after="400"/>
      </w:pPr>
    </w:p>
    <w:p>
      <w:pPr>
        <w:spacing w:after="100"/>
        <w:jc w:val="center"/>
      </w:pPr>
      <w:r>
        <w:rPr>
          <w:rFonts w:ascii="Calibri" w:cs="Calibri" w:eastAsia="Calibri" w:hAnsi="Calibri"/>
          <w:color w:val="666666"/>
          <w:sz w:val="24"/>
          <w:szCs w:val="24"/>
        </w:rPr>
        <w:t xml:space="preserve">Roue des Besoins Assurance — Baloise Luxembourg</w:t>
      </w:r>
    </w:p>
    <w:p>
      <w:pPr>
        <w:spacing w:after="200"/>
        <w:jc w:val="center"/>
      </w:pPr>
      <w:r>
        <w:rPr>
          <w:rFonts w:ascii="Calibri" w:cs="Calibri" w:eastAsia="Calibri" w:hAnsi="Calibri"/>
          <w:color w:val="666666"/>
          <w:sz w:val="24"/>
          <w:szCs w:val="24"/>
        </w:rPr>
        <w:t xml:space="preserve">Mars 2026</w:t>
      </w:r>
    </w:p>
    <w:p>
      <w:pPr>
        <w:spacing w:after="500"/>
      </w:pPr>
    </w:p>
    <w:p>
      <w:pPr>
        <w:spacing w:after="60"/>
        <w:jc w:val="center"/>
      </w:pPr>
      <w:r>
        <w:rPr>
          <w:rFonts w:ascii="Calibri" w:cs="Calibri" w:eastAsia="Calibri" w:hAnsi="Calibri"/>
          <w:b/>
          <w:bCs/>
          <w:color w:val="000d6e"/>
          <w:sz w:val="20"/>
          <w:szCs w:val="20"/>
        </w:rPr>
        <w:t xml:space="preserve">NOTE DECISIONNELLE POUR COMITE PRODUIT</w:t>
      </w:r>
    </w:p>
    <w:p>
      <w:pPr>
        <w:spacing w:after="60"/>
        <w:jc w:val="center"/>
      </w:pPr>
      <w:r>
        <w:rPr>
          <w:rFonts w:ascii="Calibri" w:cs="Calibri" w:eastAsia="Calibri" w:hAnsi="Calibri"/>
          <w:color w:val="666666"/>
          <w:sz w:val="20"/>
          <w:szCs w:val="20"/>
        </w:rPr>
        <w:t xml:space="preserve">Version 2.1 consolidee — 28 mars 2026</w:t>
      </w:r>
    </w:p>
    <w:p>
      <w:pPr>
        <w:spacing w:after="300"/>
      </w:pPr>
    </w:p>
    <w:p>
      <w:pPr>
        <w:jc w:val="center"/>
      </w:pPr>
      <w:r>
        <w:rPr>
          <w:rFonts w:ascii="Calibri" w:cs="Calibri" w:eastAsia="Calibri" w:hAnsi="Calibri"/>
          <w:color w:val="888888"/>
          <w:sz w:val="18"/>
          <w:szCs w:val="18"/>
        </w:rPr>
        <w:t xml:space="preserve">14 agents specialises contributeurs</w:t>
      </w:r>
    </w:p>
    <w:p>
      <w:pPr>
        <w:jc w:val="center"/>
      </w:pPr>
      <w:r>
        <w:rPr>
          <w:rFonts w:ascii="Calibri" w:cs="Calibri" w:eastAsia="Calibri" w:hAnsi="Calibri"/>
          <w:color w:val="999999"/>
          <w:sz w:val="16"/>
          <w:szCs w:val="16"/>
        </w:rPr>
        <w:t xml:space="preserve">PM • Insurance PM Habitation • Sales Architect • Compliance Officer • Legal Counsel</w:t>
      </w:r>
    </w:p>
    <w:p>
      <w:pPr>
        <w:jc w:val="center"/>
      </w:pPr>
      <w:r>
        <w:rPr>
          <w:rFonts w:ascii="Calibri" w:cs="Calibri" w:eastAsia="Calibri" w:hAnsi="Calibri"/>
          <w:color w:val="999999"/>
          <w:sz w:val="16"/>
          <w:szCs w:val="16"/>
        </w:rPr>
        <w:t xml:space="preserve">Risk Manager • Internal Audit • Senior Underwriting Expert • Actuaire Senior</w:t>
      </w:r>
    </w:p>
    <w:p>
      <w:pPr>
        <w:jc w:val="center"/>
      </w:pPr>
      <w:r>
        <w:rPr>
          <w:rFonts w:ascii="Calibri" w:cs="Calibri" w:eastAsia="Calibri" w:hAnsi="Calibri"/>
          <w:color w:val="999999"/>
          <w:sz w:val="16"/>
          <w:szCs w:val="16"/>
        </w:rPr>
        <w:t xml:space="preserve">Process Architect • IT Architect • Security Architect • QA Expert • Art Director</w:t>
      </w:r>
    </w:p>
    <w:p>
      <w:pPr>
        <w:sectPr>
          <w:pgSz w:w="11906" w:h="16838" w:orient="portrait"/>
          <w:pgMar w:top="1440" w:right="1440" w:bottom="1440" w:left="1440" w:header="708" w:footer="708" w:gutter="0"/>
          <w:pgNumType/>
          <w:docGrid w:linePitch="360"/>
        </w:sectPr>
      </w:pPr>
    </w:p>
    <w:p>
      <w:pPr>
        <w:pStyle w:val="Heading1"/>
        <w:spacing w:after="200" w:before="240"/>
      </w:pPr>
      <w:r>
        <w:rPr>
          <w:rFonts w:ascii="Calibri" w:cs="Calibri" w:eastAsia="Calibri" w:hAnsi="Calibri"/>
          <w:b/>
          <w:bCs/>
          <w:color w:val="000d6e"/>
          <w:sz w:val="32"/>
          <w:szCs w:val="32"/>
        </w:rPr>
        <w:t xml:space="preserve">1. Executive summary</w:t>
      </w:r>
    </w:p>
    <w:p>
      <w:pPr>
        <w:pBdr>
          <w:top w:val="single" w:color="168741" w:sz="3"/>
          <w:bottom w:val="single" w:color="168741" w:sz="3"/>
          <w:left w:val="single" w:color="168741" w:sz="3"/>
          <w:right w:val="single" w:color="168741" w:sz="3"/>
        </w:pBdr>
        <w:shd w:fill="E8F5E9" w:val="clear"/>
        <w:spacing w:after="120" w:before="120"/>
        <w:jc w:val="center"/>
      </w:pPr>
      <w:r>
        <w:rPr>
          <w:rFonts w:ascii="Calibri" w:cs="Calibri" w:eastAsia="Calibri" w:hAnsi="Calibri"/>
          <w:b/>
          <w:bCs/>
          <w:color w:val="168741"/>
          <w:sz w:val="28"/>
          <w:szCs w:val="28"/>
        </w:rPr>
        <w:t xml:space="preserve">VERDICT : GO CONDITIONNEL</w:t>
      </w:r>
    </w:p>
    <w:p>
      <w:pPr>
        <w:spacing w:after="120" w:before="0"/>
      </w:pPr>
      <w:r>
        <w:rPr>
          <w:rFonts w:ascii="Calibri" w:cs="Calibri" w:eastAsia="Calibri" w:hAnsi="Calibri"/>
          <w:sz w:val="22"/>
          <w:szCs w:val="22"/>
        </w:rPr>
        <w:t xml:space="preserve">Le recentrage sur la protection des biens (MRH Luxembourg) transforme un projet a risque eleve et perimetre flou en un projet maitrisable, testable et commercialement credible.</w:t>
      </w:r>
    </w:p>
    <w:p>
      <w:pPr>
        <w:pStyle w:val="Heading2"/>
        <w:spacing w:after="160" w:before="200"/>
      </w:pPr>
      <w:r>
        <w:rPr>
          <w:rFonts w:ascii="Calibri" w:cs="Calibri" w:eastAsia="Calibri" w:hAnsi="Calibri"/>
          <w:b/>
          <w:bCs/>
          <w:color w:val="000d6e"/>
          <w:sz w:val="26"/>
          <w:szCs w:val="26"/>
        </w:rPr>
        <w:t xml:space="preserve">Ce qui change fondamentalement par rapport a la V1</w:t>
      </w:r>
    </w:p>
    <w:p>
      <w:pPr>
        <w:pStyle w:val="ListParagraph"/>
        <w:numPr>
          <w:ilvl w:val="0"/>
          <w:numId w:val="2"/>
        </w:numPr>
        <w:spacing w:after="60"/>
      </w:pPr>
      <w:r>
        <w:rPr>
          <w:rFonts w:ascii="Calibri" w:cs="Calibri" w:eastAsia="Calibri" w:hAnsi="Calibri"/>
          <w:b/>
          <w:bCs/>
          <w:sz w:val="22"/>
          <w:szCs w:val="22"/>
        </w:rPr>
        <w:t xml:space="preserve">L’article 9 RGPD (donnees de sante) ne s’applique plus</w:t>
      </w:r>
      <w:r>
        <w:rPr>
          <w:rFonts w:ascii="Calibri" w:cs="Calibri" w:eastAsia="Calibri" w:hAnsi="Calibri"/>
          <w:sz w:val="22"/>
          <w:szCs w:val="22"/>
        </w:rPr>
        <w:t xml:space="preserve"> — le bloqueur le plus lourd de la V1 disparait</w:t>
      </w:r>
    </w:p>
    <w:p>
      <w:pPr>
        <w:pStyle w:val="ListParagraph"/>
        <w:numPr>
          <w:ilvl w:val="0"/>
          <w:numId w:val="2"/>
        </w:numPr>
        <w:spacing w:after="60"/>
      </w:pPr>
      <w:r>
        <w:rPr>
          <w:rFonts w:ascii="Calibri" w:cs="Calibri" w:eastAsia="Calibri" w:hAnsi="Calibri"/>
          <w:b/>
          <w:bCs/>
          <w:sz w:val="22"/>
          <w:szCs w:val="22"/>
        </w:rPr>
        <w:t xml:space="preserve">16 garanties MRH au lieu de 48+ multi-produits</w:t>
      </w:r>
      <w:r>
        <w:rPr>
          <w:rFonts w:ascii="Calibri" w:cs="Calibri" w:eastAsia="Calibri" w:hAnsi="Calibri"/>
          <w:sz w:val="22"/>
          <w:szCs w:val="22"/>
        </w:rPr>
        <w:t xml:space="preserve"> — le referentiel est fini et bornable</w:t>
      </w:r>
    </w:p>
    <w:p>
      <w:pPr>
        <w:pStyle w:val="ListParagraph"/>
        <w:numPr>
          <w:ilvl w:val="0"/>
          <w:numId w:val="2"/>
        </w:numPr>
        <w:spacing w:after="60"/>
      </w:pPr>
      <w:r>
        <w:rPr>
          <w:rFonts w:ascii="Calibri" w:cs="Calibri" w:eastAsia="Calibri" w:hAnsi="Calibri"/>
          <w:b/>
          <w:bCs/>
          <w:sz w:val="22"/>
          <w:szCs w:val="22"/>
        </w:rPr>
        <w:t xml:space="preserve">5 assureurs luxembourgeois au lieu de 15+</w:t>
      </w:r>
      <w:r>
        <w:rPr>
          <w:rFonts w:ascii="Calibri" w:cs="Calibri" w:eastAsia="Calibri" w:hAnsi="Calibri"/>
          <w:sz w:val="22"/>
          <w:szCs w:val="22"/>
        </w:rPr>
        <w:t xml:space="preserve"> — le dictionnaire de mapping est gerable</w:t>
      </w:r>
    </w:p>
    <w:p>
      <w:pPr>
        <w:pStyle w:val="ListParagraph"/>
        <w:numPr>
          <w:ilvl w:val="0"/>
          <w:numId w:val="2"/>
        </w:numPr>
        <w:spacing w:after="60"/>
      </w:pPr>
      <w:r>
        <w:rPr>
          <w:rFonts w:ascii="Calibri" w:cs="Calibri" w:eastAsia="Calibri" w:hAnsi="Calibri"/>
          <w:b/>
          <w:bCs/>
          <w:sz w:val="22"/>
          <w:szCs w:val="22"/>
        </w:rPr>
        <w:t xml:space="preserve">L’AI Act Annexe III.5(b) ne couvre pas la MRH</w:t>
      </w:r>
      <w:r>
        <w:rPr>
          <w:rFonts w:ascii="Calibri" w:cs="Calibri" w:eastAsia="Calibri" w:hAnsi="Calibri"/>
          <w:sz w:val="22"/>
          <w:szCs w:val="22"/>
        </w:rPr>
        <w:t xml:space="preserve"> — la charge reglementaire IA s’allege massivement</w:t>
      </w:r>
    </w:p>
    <w:p>
      <w:pPr>
        <w:pStyle w:val="ListParagraph"/>
        <w:numPr>
          <w:ilvl w:val="0"/>
          <w:numId w:val="2"/>
        </w:numPr>
        <w:spacing w:after="60"/>
      </w:pPr>
      <w:r>
        <w:rPr>
          <w:rFonts w:ascii="Calibri" w:cs="Calibri" w:eastAsia="Calibri" w:hAnsi="Calibri"/>
          <w:b/>
          <w:bCs/>
          <w:sz w:val="22"/>
          <w:szCs w:val="22"/>
        </w:rPr>
        <w:t xml:space="preserve">La DPIA reste necessaire mais plus legere</w:t>
      </w:r>
      <w:r>
        <w:rPr>
          <w:rFonts w:ascii="Calibri" w:cs="Calibri" w:eastAsia="Calibri" w:hAnsi="Calibri"/>
          <w:sz w:val="22"/>
          <w:szCs w:val="22"/>
        </w:rPr>
        <w:t xml:space="preserve"> (1-2 semaines au lieu de 3-4)</w:t>
      </w:r>
    </w:p>
    <w:p>
      <w:pPr>
        <w:pStyle w:val="Heading2"/>
        <w:spacing w:after="160" w:before="200"/>
      </w:pPr>
      <w:r>
        <w:rPr>
          <w:rFonts w:ascii="Calibri" w:cs="Calibri" w:eastAsia="Calibri" w:hAnsi="Calibri"/>
          <w:b/>
          <w:bCs/>
          <w:color w:val="000d6e"/>
          <w:sz w:val="26"/>
          <w:szCs w:val="26"/>
        </w:rPr>
        <w:t xml:space="preserve">Recommandation</w:t>
      </w:r>
    </w:p>
    <w:p>
      <w:pPr>
        <w:spacing w:after="120" w:before="0"/>
      </w:pPr>
      <w:r>
        <w:rPr>
          <w:rFonts w:ascii="Calibri" w:cs="Calibri" w:eastAsia="Calibri" w:hAnsi="Calibri"/>
          <w:sz w:val="22"/>
          <w:szCs w:val="22"/>
        </w:rPr>
        <w:t xml:space="preserve">Lancer sur le perimetre MRH uniquement, avec une Phase 0 de validation marche (CTA factice, 4 semaines), puis une Phase 1 en extraction automatique PDF natifs via pdf-parse + Mistral Large (texte seul). La restitution est categorique (detecte / detecte avec reserve / non detecte / non evaluable), jamais en pourcentage, toujours sous reserve. Le dev backend, le CTA factice et l’ecran d’upload peuvent demarrer immediatement. L’ecran de restitution client, le PDF export et les wordings des statuts sont bloques jusqu’a validation IDD par le service juridique Baloise Luxembourg. Ne pas etendre au-dela de HOME avant d’avoir mesure la precision reelle sur 50+ contrats.</w:t>
      </w:r>
    </w:p>
    <w:p>
      <w:pPr>
        <w:pStyle w:val="Heading1"/>
        <w:pageBreakBefore/>
        <w:spacing w:after="200" w:before="240"/>
      </w:pPr>
      <w:r>
        <w:rPr>
          <w:rFonts w:ascii="Calibri" w:cs="Calibri" w:eastAsia="Calibri" w:hAnsi="Calibri"/>
          <w:b/>
          <w:bCs/>
          <w:color w:val="000d6e"/>
          <w:sz w:val="32"/>
          <w:szCs w:val="32"/>
        </w:rPr>
        <w:t xml:space="preserve">2. Definition stricte du perimetre</w:t>
      </w:r>
    </w:p>
    <w:p>
      <w:pPr>
        <w:pStyle w:val="Heading2"/>
        <w:spacing w:after="160" w:before="200"/>
      </w:pPr>
      <w:r>
        <w:rPr>
          <w:rFonts w:ascii="Calibri" w:cs="Calibri" w:eastAsia="Calibri" w:hAnsi="Calibri"/>
          <w:b/>
          <w:bCs/>
          <w:color w:val="000d6e"/>
          <w:sz w:val="26"/>
          <w:szCs w:val="26"/>
        </w:rPr>
        <w:t xml:space="preserve">2.1 Ce qui est DANS le scope (liste fermee)</w:t>
      </w:r>
    </w:p>
    <w:p>
      <w:pPr>
        <w:pStyle w:val="Heading3"/>
        <w:spacing w:after="120" w:before="160"/>
      </w:pPr>
      <w:r>
        <w:rPr>
          <w:rFonts w:ascii="Calibri" w:cs="Calibri" w:eastAsia="Calibri" w:hAnsi="Calibri"/>
          <w:b/>
          <w:bCs/>
          <w:color w:val="000d6e"/>
          <w:sz w:val="23"/>
          <w:szCs w:val="23"/>
        </w:rPr>
        <w:t xml:space="preserve">a) Garanties coeur de protection des biens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tblHeader/>
        </w:trPr>
        <w:tc>
          <w:tcPr>
            <w:tcW w:type="dxa" w:w="7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t>
            </w:r>
          </w:p>
        </w:tc>
        <w:tc>
          <w:tcPr>
            <w:tcW w:type="dxa" w:w="53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Garantie normalisee</w:t>
            </w:r>
          </w:p>
        </w:tc>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Criticite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G01</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Incendie et evenements assimiles</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G02</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Degats des eaux et gel</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G03</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Vol / cambriolage / vandalisme</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G04</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Bris de glace</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B - utile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G05</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Tempete / grele / neige</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G06</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Catastrophes naturelles / inondation</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G07</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Dommages electriques</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B - utile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G08</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RC occupant / RC locataire</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B - utile</w:t>
            </w:r>
          </w:p>
        </w:tc>
      </w:tr>
    </w:tbl>
    <w:p>
      <w:pPr>
        <w:spacing w:after="80"/>
      </w:pPr>
    </w:p>
    <w:p>
      <w:pPr>
        <w:pStyle w:val="Heading3"/>
        <w:spacing w:after="120" w:before="160"/>
      </w:pPr>
      <w:r>
        <w:rPr>
          <w:rFonts w:ascii="Calibri" w:cs="Calibri" w:eastAsia="Calibri" w:hAnsi="Calibri"/>
          <w:b/>
          <w:bCs/>
          <w:color w:val="000d6e"/>
          <w:sz w:val="23"/>
          <w:szCs w:val="23"/>
        </w:rPr>
        <w:t xml:space="preserve">b) Parametres contractuels critiques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tblHeader/>
        </w:trPr>
        <w:tc>
          <w:tcPr>
            <w:tcW w:type="dxa" w:w="7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t>
            </w:r>
          </w:p>
        </w:tc>
        <w:tc>
          <w:tcPr>
            <w:tcW w:type="dxa" w:w="53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Parametre</w:t>
            </w:r>
          </w:p>
        </w:tc>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Criticite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P01</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Capital batiment (proprietaire)</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P02</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Capital contenu mobilier</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P03</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Franchise generale</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P04</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Franchise specifique vol</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B - utile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P05</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Franchise specifique degats des eaux</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B - utile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P06</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Sous-limite objets de valeur</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B - utile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P07</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Mode d’indemnisation (valeur a neuf : oui/non)</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B - utile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P08</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Date d’effet / date d’echeance</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P09</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Assureur / nom du produit</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P10</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Prime annuelle TTC</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 - indicatif</w:t>
            </w:r>
          </w:p>
        </w:tc>
      </w:tr>
    </w:tbl>
    <w:p>
      <w:pPr>
        <w:spacing w:after="80"/>
      </w:pPr>
    </w:p>
    <w:p>
      <w:pPr>
        <w:pStyle w:val="Heading3"/>
        <w:spacing w:after="120" w:before="160"/>
      </w:pPr>
      <w:r>
        <w:rPr>
          <w:rFonts w:ascii="Calibri" w:cs="Calibri" w:eastAsia="Calibri" w:hAnsi="Calibri"/>
          <w:b/>
          <w:bCs/>
          <w:color w:val="000d6e"/>
          <w:sz w:val="23"/>
          <w:szCs w:val="23"/>
        </w:rPr>
        <w:t xml:space="preserve">c) Elements laisses en “non evaluable”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Element</w:t>
            </w:r>
          </w:p>
        </w:tc>
        <w:tc>
          <w:tcPr>
            <w:tcW w:type="dxa" w:w="6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Raison</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Perimetres detailles des garanties</w:t>
            </w:r>
          </w:p>
        </w:tc>
        <w:tc>
          <w:tcPr>
            <w:tcW w:type="dxa" w:w="6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Defini dans les CG, pas dans les CP/TRG</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Exclusions (liste complete)</w:t>
            </w:r>
          </w:p>
        </w:tc>
        <w:tc>
          <w:tcPr>
            <w:tcW w:type="dxa" w:w="6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Trop longues, nuancees, contextuelles</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Regime de vetuste detaille</w:t>
            </w:r>
          </w:p>
        </w:tc>
        <w:tc>
          <w:tcPr>
            <w:tcW w:type="dxa" w:w="6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Formules complexes dans les CG</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Obligations de l’assure</w:t>
            </w:r>
          </w:p>
        </w:tc>
        <w:tc>
          <w:tcPr>
            <w:tcW w:type="dxa" w:w="6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Non extractibles automatiquement</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Regle proportionnelle de capitaux</w:t>
            </w:r>
          </w:p>
        </w:tc>
        <w:tc>
          <w:tcPr>
            <w:tcW w:type="dxa" w:w="6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Dans les CG, pas dans les CP</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Clauses d’indexation</w:t>
            </w:r>
          </w:p>
        </w:tc>
        <w:tc>
          <w:tcPr>
            <w:tcW w:type="dxa" w:w="6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Variables, cachees, non standardisees</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Conditions de resiliation</w:t>
            </w:r>
          </w:p>
        </w:tc>
        <w:tc>
          <w:tcPr>
            <w:tcW w:type="dxa" w:w="6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Hors perimetre adequation</w:t>
            </w:r>
          </w:p>
        </w:tc>
      </w:tr>
    </w:tbl>
    <w:p>
      <w:pPr>
        <w:pStyle w:val="Heading2"/>
        <w:spacing w:after="160" w:before="200"/>
      </w:pPr>
      <w:r>
        <w:rPr>
          <w:rFonts w:ascii="Calibri" w:cs="Calibri" w:eastAsia="Calibri" w:hAnsi="Calibri"/>
          <w:b/>
          <w:bCs/>
          <w:color w:val="000d6e"/>
          <w:sz w:val="26"/>
          <w:szCs w:val="26"/>
        </w:rPr>
        <w:t xml:space="preserve">2.2 Ce qui est HORS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Element exclus</w:t>
            </w:r>
          </w:p>
        </w:tc>
        <w:tc>
          <w:tcPr>
            <w:tcW w:type="dxa" w:w="5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Justification</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Assurance auto (DRIVE)</w:t>
            </w:r>
          </w:p>
        </w:tc>
        <w:tc>
          <w:tcPr>
            <w:tcW w:type="dxa" w:w="5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Autre quadrant, autre structure</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Prevoyance (B-SAFE)</w:t>
            </w:r>
          </w:p>
        </w:tc>
        <w:tc>
          <w:tcPr>
            <w:tcW w:type="dxa" w:w="5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Donnees de sante art. 9 RGPD = bloqueur</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Voyage (TRAVEL)</w:t>
            </w:r>
          </w:p>
        </w:tc>
        <w:tc>
          <w:tcPr>
            <w:tcW w:type="dxa" w:w="5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Contrats courts, faible enjeu</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Epargne / pension (FUTUR)</w:t>
            </w:r>
          </w:p>
        </w:tc>
        <w:tc>
          <w:tcPr>
            <w:tcW w:type="dxa" w:w="5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Reglementation distincte</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RC vie privee standalone</w:t>
            </w:r>
          </w:p>
        </w:tc>
        <w:tc>
          <w:tcPr>
            <w:tcW w:type="dxa" w:w="5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Contrat separe, pas un MRH</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Protection juridique standalone</w:t>
            </w:r>
          </w:p>
        </w:tc>
        <w:tc>
          <w:tcPr>
            <w:tcW w:type="dxa" w:w="5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Idem</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Assistance</w:t>
            </w:r>
          </w:p>
        </w:tc>
        <w:tc>
          <w:tcPr>
            <w:tcW w:type="dxa" w:w="5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Garantie de service, pas de dommages aux biens</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Cyber / e-reputation / animaux / scolaire</w:t>
            </w:r>
          </w:p>
        </w:tc>
        <w:tc>
          <w:tcPr>
            <w:tcW w:type="dxa" w:w="5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Hors protection des biens</w:t>
            </w:r>
          </w:p>
        </w:tc>
      </w:tr>
    </w:tbl>
    <w:p>
      <w:pPr>
        <w:spacing w:after="120" w:before="0"/>
      </w:pPr>
      <w:r>
        <w:rPr>
          <w:rFonts w:ascii="Calibri" w:cs="Calibri" w:eastAsia="Calibri" w:hAnsi="Calibri"/>
          <w:b/>
          <w:bCs/>
          <w:sz w:val="22"/>
          <w:szCs w:val="22"/>
        </w:rPr>
        <w:t xml:space="preserve">Regle : </w:t>
      </w:r>
      <w:r>
        <w:rPr>
          <w:rFonts w:ascii="Calibri" w:cs="Calibri" w:eastAsia="Calibri" w:hAnsi="Calibri"/>
          <w:sz w:val="22"/>
          <w:szCs w:val="22"/>
        </w:rPr>
        <w:t xml:space="preserve">si c’est absent de cette liste, c’est HORS scope.</w:t>
      </w:r>
    </w:p>
    <w:p>
      <w:pPr>
        <w:pStyle w:val="Heading1"/>
        <w:pageBreakBefore/>
        <w:spacing w:after="200" w:before="240"/>
      </w:pPr>
      <w:r>
        <w:rPr>
          <w:rFonts w:ascii="Calibri" w:cs="Calibri" w:eastAsia="Calibri" w:hAnsi="Calibri"/>
          <w:b/>
          <w:bCs/>
          <w:color w:val="000d6e"/>
          <w:sz w:val="32"/>
          <w:szCs w:val="32"/>
        </w:rPr>
        <w:t xml:space="preserve">3. Proposition de valeur produit reelle</w:t>
      </w:r>
    </w:p>
    <w:p>
      <w:pPr>
        <w:pStyle w:val="Heading2"/>
        <w:spacing w:after="160" w:before="200"/>
      </w:pPr>
      <w:r>
        <w:rPr>
          <w:rFonts w:ascii="Calibri" w:cs="Calibri" w:eastAsia="Calibri" w:hAnsi="Calibri"/>
          <w:b/>
          <w:bCs/>
          <w:color w:val="000d6e"/>
          <w:sz w:val="26"/>
          <w:szCs w:val="26"/>
        </w:rPr>
        <w:t xml:space="preserve">3.1 A quoi sert cette fonctionnalite</w:t>
      </w:r>
    </w:p>
    <w:p>
      <w:pPr>
        <w:spacing w:after="120" w:before="0"/>
      </w:pPr>
      <w:r>
        <w:rPr>
          <w:rFonts w:ascii="Calibri" w:cs="Calibri" w:eastAsia="Calibri" w:hAnsi="Calibri"/>
          <w:b/>
          <w:bCs/>
          <w:sz w:val="22"/>
          <w:szCs w:val="22"/>
        </w:rPr>
        <w:t xml:space="preserve">Ce qu’elle fait : </w:t>
      </w:r>
      <w:r>
        <w:rPr>
          <w:rFonts w:ascii="Calibri" w:cs="Calibri" w:eastAsia="Calibri" w:hAnsi="Calibri"/>
          <w:sz w:val="22"/>
          <w:szCs w:val="22"/>
        </w:rPr>
        <w:t xml:space="preserve">elle permet a un client ayant complete le questionnaire “biens” d’uploader son contrat MRH actuel pour obtenir une premiere lecture automatique de son contenu, comparee a ses besoins declares.</w:t>
      </w:r>
    </w:p>
    <w:p>
      <w:pPr>
        <w:spacing w:after="120" w:before="0"/>
      </w:pPr>
      <w:r>
        <w:rPr>
          <w:rFonts w:ascii="Calibri" w:cs="Calibri" w:eastAsia="Calibri" w:hAnsi="Calibri"/>
          <w:b/>
          <w:bCs/>
          <w:sz w:val="22"/>
          <w:szCs w:val="22"/>
        </w:rPr>
        <w:t xml:space="preserve">Ce qu’elle ne promet PAS :</w:t>
      </w:r>
    </w:p>
    <w:p>
      <w:pPr>
        <w:pStyle w:val="ListParagraph"/>
        <w:numPr>
          <w:ilvl w:val="0"/>
          <w:numId w:val="2"/>
        </w:numPr>
        <w:spacing w:after="60"/>
      </w:pPr>
      <w:r>
        <w:rPr>
          <w:rFonts w:ascii="Calibri" w:cs="Calibri" w:eastAsia="Calibri" w:hAnsi="Calibri"/>
          <w:sz w:val="22"/>
          <w:szCs w:val="22"/>
        </w:rPr>
        <w:t xml:space="preserve">Ce n’est PAS un audit de couverture</w:t>
      </w:r>
    </w:p>
    <w:p>
      <w:pPr>
        <w:pStyle w:val="ListParagraph"/>
        <w:numPr>
          <w:ilvl w:val="0"/>
          <w:numId w:val="2"/>
        </w:numPr>
        <w:spacing w:after="60"/>
      </w:pPr>
      <w:r>
        <w:rPr>
          <w:rFonts w:ascii="Calibri" w:cs="Calibri" w:eastAsia="Calibri" w:hAnsi="Calibri"/>
          <w:sz w:val="22"/>
          <w:szCs w:val="22"/>
        </w:rPr>
        <w:t xml:space="preserve">Ce n’est PAS un conseil en assurance</w:t>
      </w:r>
    </w:p>
    <w:p>
      <w:pPr>
        <w:pStyle w:val="ListParagraph"/>
        <w:numPr>
          <w:ilvl w:val="0"/>
          <w:numId w:val="2"/>
        </w:numPr>
        <w:spacing w:after="60"/>
      </w:pPr>
      <w:r>
        <w:rPr>
          <w:rFonts w:ascii="Calibri" w:cs="Calibri" w:eastAsia="Calibri" w:hAnsi="Calibri"/>
          <w:sz w:val="22"/>
          <w:szCs w:val="22"/>
        </w:rPr>
        <w:t xml:space="preserve">Ce n’est PAS une comparaison de prix</w:t>
      </w:r>
    </w:p>
    <w:p>
      <w:pPr>
        <w:pStyle w:val="ListParagraph"/>
        <w:numPr>
          <w:ilvl w:val="0"/>
          <w:numId w:val="2"/>
        </w:numPr>
        <w:spacing w:after="60"/>
      </w:pPr>
      <w:r>
        <w:rPr>
          <w:rFonts w:ascii="Calibri" w:cs="Calibri" w:eastAsia="Calibri" w:hAnsi="Calibri"/>
          <w:sz w:val="22"/>
          <w:szCs w:val="22"/>
        </w:rPr>
        <w:t xml:space="preserve">Ce n’est PAS un certificat de couverture</w:t>
      </w:r>
    </w:p>
    <w:p>
      <w:pPr>
        <w:pStyle w:val="ListParagraph"/>
        <w:numPr>
          <w:ilvl w:val="0"/>
          <w:numId w:val="2"/>
        </w:numPr>
        <w:spacing w:after="60"/>
      </w:pPr>
      <w:r>
        <w:rPr>
          <w:rFonts w:ascii="Calibri" w:cs="Calibri" w:eastAsia="Calibri" w:hAnsi="Calibri"/>
          <w:sz w:val="22"/>
          <w:szCs w:val="22"/>
        </w:rPr>
        <w:t xml:space="preserve">Ce n’est PAS une recommandation de produit Baloise</w:t>
      </w:r>
    </w:p>
    <w:p>
      <w:pPr>
        <w:pStyle w:val="Heading2"/>
        <w:spacing w:after="160" w:before="200"/>
      </w:pPr>
      <w:r>
        <w:rPr>
          <w:rFonts w:ascii="Calibri" w:cs="Calibri" w:eastAsia="Calibri" w:hAnsi="Calibri"/>
          <w:b/>
          <w:bCs/>
          <w:color w:val="000d6e"/>
          <w:sz w:val="26"/>
          <w:szCs w:val="26"/>
        </w:rPr>
        <w:t xml:space="preserve">3.2 Wording CTA retenu</w:t>
      </w:r>
    </w:p>
    <w:p>
      <w:pPr>
        <w:spacing w:after="120" w:before="0"/>
      </w:pPr>
      <w:r>
        <w:rPr>
          <w:rFonts w:ascii="Calibri" w:cs="Calibri" w:eastAsia="Calibri" w:hAnsi="Calibri"/>
          <w:b/>
          <w:bCs/>
          <w:sz w:val="22"/>
          <w:szCs w:val="22"/>
        </w:rPr>
        <w:t xml:space="preserve">Wording : </w:t>
      </w:r>
      <w:r>
        <w:rPr>
          <w:rFonts w:ascii="Calibri" w:cs="Calibri" w:eastAsia="Calibri" w:hAnsi="Calibri"/>
          <w:sz w:val="22"/>
          <w:szCs w:val="22"/>
        </w:rPr>
        <w:t xml:space="preserve">“Faites le point sur votre assurance habitation”</w:t>
      </w:r>
    </w:p>
    <w:p>
      <w:pPr>
        <w:spacing w:after="120" w:before="0"/>
      </w:pPr>
      <w:r>
        <w:rPr>
          <w:rFonts w:ascii="Calibri" w:cs="Calibri" w:eastAsia="Calibri" w:hAnsi="Calibri"/>
          <w:b/>
          <w:bCs/>
          <w:sz w:val="22"/>
          <w:szCs w:val="22"/>
        </w:rPr>
        <w:t xml:space="preserve">Sous-titre : </w:t>
      </w:r>
      <w:r>
        <w:rPr>
          <w:rFonts w:ascii="Calibri" w:cs="Calibri" w:eastAsia="Calibri" w:hAnsi="Calibri"/>
          <w:sz w:val="22"/>
          <w:szCs w:val="22"/>
        </w:rPr>
        <w:t xml:space="preserve">“Identifiez les garanties presentes dans votre contrat — et celles qui ne le sont pas.”</w:t>
      </w:r>
    </w:p>
    <w:p>
      <w:pPr>
        <w:spacing w:after="120" w:before="0"/>
      </w:pPr>
      <w:r>
        <w:rPr>
          <w:rFonts w:ascii="Calibri" w:cs="Calibri" w:eastAsia="Calibri" w:hAnsi="Calibri"/>
          <w:b/>
          <w:bCs/>
          <w:sz w:val="22"/>
          <w:szCs w:val="22"/>
        </w:rPr>
        <w:t xml:space="preserve">Condition : </w:t>
      </w:r>
      <w:r>
        <w:rPr>
          <w:rFonts w:ascii="Calibri" w:cs="Calibri" w:eastAsia="Calibri" w:hAnsi="Calibri"/>
          <w:sz w:val="22"/>
          <w:szCs w:val="22"/>
        </w:rPr>
        <w:t xml:space="preserve">quadrant biens complete + contrat MRH declare (home_coverage_existing !== ’none’)</w:t>
      </w:r>
    </w:p>
    <w:p>
      <w:pPr>
        <w:pStyle w:val="Heading1"/>
        <w:pageBreakBefore/>
        <w:spacing w:after="200" w:before="240"/>
      </w:pPr>
      <w:r>
        <w:rPr>
          <w:rFonts w:ascii="Calibri" w:cs="Calibri" w:eastAsia="Calibri" w:hAnsi="Calibri"/>
          <w:b/>
          <w:bCs/>
          <w:color w:val="000d6e"/>
          <w:sz w:val="32"/>
          <w:szCs w:val="32"/>
        </w:rPr>
        <w:t xml:space="preserve">4. Qualification reglementaire et juridique</w:t>
      </w:r>
    </w:p>
    <w:p>
      <w:pPr>
        <w:pStyle w:val="Heading2"/>
        <w:spacing w:after="160" w:before="200"/>
      </w:pPr>
      <w:r>
        <w:rPr>
          <w:rFonts w:ascii="Calibri" w:cs="Calibri" w:eastAsia="Calibri" w:hAnsi="Calibri"/>
          <w:b/>
          <w:bCs/>
          <w:color w:val="000d6e"/>
          <w:sz w:val="26"/>
          <w:szCs w:val="26"/>
        </w:rPr>
        <w:t xml:space="preserve">4.1 Position IDD : COMPARAISON INFORMATIVE (niveau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3000"/>
      </w:tblGrid>
      <w:tr>
        <w:trPr>
          <w:tblHeader/>
        </w:trPr>
        <w:tc>
          <w:tcPr>
            <w:tcW w:type="dxa" w:w="18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Niveau IDD</w:t>
            </w:r>
          </w:p>
        </w:tc>
        <w:tc>
          <w:tcPr>
            <w:tcW w:type="dxa" w:w="42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Description</w:t>
            </w:r>
          </w:p>
        </w:tc>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Fonctionnalite MRH ?</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 Information pure</w:t>
            </w:r>
          </w:p>
        </w:tc>
        <w:tc>
          <w:tcPr>
            <w:tcW w:type="dxa" w:w="4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“Votre contrat mentionne X, Y, Z”</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Partiellement</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b) Comparaison</w:t>
            </w:r>
          </w:p>
        </w:tc>
        <w:tc>
          <w:tcPr>
            <w:tcW w:type="dxa" w:w="4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“Votre contrat mentionne X mais pas Y par rapport a vos besoins declares”</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OUI</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 Recommandation</w:t>
            </w:r>
          </w:p>
        </w:tc>
        <w:tc>
          <w:tcPr>
            <w:tcW w:type="dxa" w:w="4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“Nous vous suggerons de souscrire Z”</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NON</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d) Conseil</w:t>
            </w:r>
          </w:p>
        </w:tc>
        <w:tc>
          <w:tcPr>
            <w:tcW w:type="dxa" w:w="4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“Au vu de votre situation, nous recommandons...”</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NON</w:t>
            </w:r>
          </w:p>
        </w:tc>
      </w:tr>
    </w:tbl>
    <w:p>
      <w:pPr>
        <w:spacing w:after="60"/>
      </w:pPr>
    </w:p>
    <w:p>
      <w:pPr>
        <w:spacing w:after="120" w:before="0"/>
      </w:pPr>
      <w:r>
        <w:rPr>
          <w:rFonts w:ascii="Calibri" w:cs="Calibri" w:eastAsia="Calibri" w:hAnsi="Calibri"/>
          <w:b/>
          <w:bCs/>
          <w:sz w:val="22"/>
          <w:szCs w:val="22"/>
        </w:rPr>
        <w:t xml:space="preserve">BLOQUANT : </w:t>
      </w:r>
      <w:r>
        <w:rPr>
          <w:rFonts w:ascii="Calibri" w:cs="Calibri" w:eastAsia="Calibri" w:hAnsi="Calibri"/>
          <w:sz w:val="22"/>
          <w:szCs w:val="22"/>
        </w:rPr>
        <w:t xml:space="preserve">qualification a valider par le juridique Baloise AVANT mise en production de l’ecran de restitution. Le backend et l’upload peuvent demarrer sans attendre.</w:t>
      </w:r>
    </w:p>
    <w:p>
      <w:pPr>
        <w:pStyle w:val="Heading2"/>
        <w:spacing w:after="160" w:before="200"/>
      </w:pPr>
      <w:r>
        <w:rPr>
          <w:rFonts w:ascii="Calibri" w:cs="Calibri" w:eastAsia="Calibri" w:hAnsi="Calibri"/>
          <w:b/>
          <w:bCs/>
          <w:color w:val="000d6e"/>
          <w:sz w:val="26"/>
          <w:szCs w:val="26"/>
        </w:rPr>
        <w:t xml:space="preserve">4.2 Impact RGPD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Critere</w:t>
            </w:r>
          </w:p>
        </w:tc>
        <w:tc>
          <w:tcPr>
            <w:tcW w:type="dxa" w:w="3013"/>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V1 (4 quadrants)</w:t>
            </w:r>
          </w:p>
        </w:tc>
        <w:tc>
          <w:tcPr>
            <w:tcW w:type="dxa" w:w="3013"/>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MRH uniquement</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Donnees de sante (art. 9)</w:t>
            </w:r>
          </w:p>
        </w:tc>
        <w:tc>
          <w:tcPr>
            <w:tcW w:type="dxa" w:w="30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OUI</w:t>
            </w:r>
          </w:p>
        </w:tc>
        <w:tc>
          <w:tcPr>
            <w:tcW w:type="dxa" w:w="30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NON</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Consentement art. 9</w:t>
            </w:r>
          </w:p>
        </w:tc>
        <w:tc>
          <w:tcPr>
            <w:tcW w:type="dxa" w:w="30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Obligatoire</w:t>
            </w:r>
          </w:p>
        </w:tc>
        <w:tc>
          <w:tcPr>
            <w:tcW w:type="dxa" w:w="30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Non necessaire</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DPIA</w:t>
            </w:r>
          </w:p>
        </w:tc>
        <w:tc>
          <w:tcPr>
            <w:tcW w:type="dxa" w:w="30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Complexe (3-4 sem.)</w:t>
            </w:r>
          </w:p>
        </w:tc>
        <w:tc>
          <w:tcPr>
            <w:tcW w:type="dxa" w:w="30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Allegee (1-2 sem.)</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Transfert hors UE</w:t>
            </w:r>
          </w:p>
        </w:tc>
        <w:tc>
          <w:tcPr>
            <w:tcW w:type="dxa" w:w="30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A evaluer</w:t>
            </w:r>
          </w:p>
        </w:tc>
        <w:tc>
          <w:tcPr>
            <w:tcW w:type="dxa" w:w="30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Mistral = Paris, pas de transfert</w:t>
            </w:r>
          </w:p>
        </w:tc>
      </w:tr>
    </w:tbl>
    <w:p>
      <w:pPr>
        <w:pStyle w:val="Heading2"/>
        <w:spacing w:after="160" w:before="200"/>
      </w:pPr>
      <w:r>
        <w:rPr>
          <w:rFonts w:ascii="Calibri" w:cs="Calibri" w:eastAsia="Calibri" w:hAnsi="Calibri"/>
          <w:b/>
          <w:bCs/>
          <w:color w:val="000d6e"/>
          <w:sz w:val="26"/>
          <w:szCs w:val="26"/>
        </w:rPr>
        <w:t xml:space="preserve">4.3 Disclaimers</w:t>
      </w:r>
    </w:p>
    <w:p>
      <w:pPr>
        <w:spacing w:after="120" w:before="0"/>
      </w:pPr>
      <w:r>
        <w:rPr>
          <w:rFonts w:ascii="Calibri" w:cs="Calibri" w:eastAsia="Calibri" w:hAnsi="Calibri"/>
          <w:b/>
          <w:bCs/>
          <w:sz w:val="22"/>
          <w:szCs w:val="22"/>
        </w:rPr>
        <w:t xml:space="preserve">Avant upload :</w:t>
      </w:r>
    </w:p>
    <w:p>
      <w:pPr>
        <w:pBdr>
          <w:left w:val="single" w:color="000d6e" w:sz="6" w:space="8"/>
        </w:pBdr>
        <w:spacing w:after="120" w:before="60"/>
        <w:ind w:left="360"/>
      </w:pPr>
      <w:r>
        <w:rPr>
          <w:rFonts w:ascii="Calibri" w:cs="Calibri" w:eastAsia="Calibri" w:hAnsi="Calibri"/>
          <w:i/>
          <w:iCs/>
          <w:sz w:val="21"/>
          <w:szCs w:val="21"/>
        </w:rPr>
        <w:t xml:space="preserve">En important votre contrat, vous autorisez Baloise a analyser automatiquement son contenu pour le comparer a vos besoins declares. Cette analyse est fournie a titre informatif et ne constitue ni un conseil en assurance, ni un avis sur l’adequation de votre couverture. Votre document est supprime apres analyse.</w:t>
      </w:r>
    </w:p>
    <w:p>
      <w:pPr>
        <w:spacing w:after="120" w:before="0"/>
      </w:pPr>
      <w:r>
        <w:rPr>
          <w:rFonts w:ascii="Calibri" w:cs="Calibri" w:eastAsia="Calibri" w:hAnsi="Calibri"/>
          <w:b/>
          <w:bCs/>
          <w:sz w:val="22"/>
          <w:szCs w:val="22"/>
        </w:rPr>
        <w:t xml:space="preserve">Avec les resultats :</w:t>
      </w:r>
    </w:p>
    <w:p>
      <w:pPr>
        <w:pBdr>
          <w:left w:val="single" w:color="000d6e" w:sz="6" w:space="8"/>
        </w:pBdr>
        <w:spacing w:after="120" w:before="60"/>
        <w:ind w:left="360"/>
      </w:pPr>
      <w:r>
        <w:rPr>
          <w:rFonts w:ascii="Calibri" w:cs="Calibri" w:eastAsia="Calibri" w:hAnsi="Calibri"/>
          <w:i/>
          <w:iCs/>
          <w:sz w:val="21"/>
          <w:szCs w:val="21"/>
        </w:rPr>
        <w:t xml:space="preserve">Cette analyse repose sur les informations lisibles de votre contrat et sur vos reponses au questionnaire. Elle ne se substitue pas a la lecture de vos conditions generales et particulieres. Consultez votre conseiller pour une analyse detaillee.</w:t>
      </w:r>
    </w:p>
    <w:p>
      <w:pPr>
        <w:spacing w:after="120" w:before="0"/>
      </w:pPr>
      <w:r>
        <w:rPr>
          <w:rFonts w:ascii="Calibri" w:cs="Calibri" w:eastAsia="Calibri" w:hAnsi="Calibri"/>
          <w:b/>
          <w:bCs/>
          <w:sz w:val="22"/>
          <w:szCs w:val="22"/>
        </w:rPr>
        <w:t xml:space="preserve">Dans le PDF/export :</w:t>
      </w:r>
    </w:p>
    <w:p>
      <w:pPr>
        <w:pBdr>
          <w:left w:val="single" w:color="000d6e" w:sz="6" w:space="8"/>
        </w:pBdr>
        <w:spacing w:after="120" w:before="60"/>
        <w:ind w:left="360"/>
      </w:pPr>
      <w:r>
        <w:rPr>
          <w:rFonts w:ascii="Calibri" w:cs="Calibri" w:eastAsia="Calibri" w:hAnsi="Calibri"/>
          <w:i/>
          <w:iCs/>
          <w:sz w:val="21"/>
          <w:szCs w:val="21"/>
        </w:rPr>
        <w:t xml:space="preserve">Document genere automatiquement a titre informatif. Ne constitue pas un conseil en assurance au sens de la Directive sur la Distribution d’Assurance (IDD). Les resultats sont soumis aux reserves liees a la qualite de l’extraction documentaire.</w:t>
      </w:r>
    </w:p>
    <w:p>
      <w:pPr>
        <w:pStyle w:val="Heading2"/>
        <w:spacing w:after="160" w:before="200"/>
      </w:pPr>
      <w:r>
        <w:rPr>
          <w:rFonts w:ascii="Calibri" w:cs="Calibri" w:eastAsia="Calibri" w:hAnsi="Calibri"/>
          <w:b/>
          <w:bCs/>
          <w:color w:val="000d6e"/>
          <w:sz w:val="26"/>
          <w:szCs w:val="26"/>
        </w:rPr>
        <w:t xml:space="preserve">4.4 Formulations interdites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INTERDIT</w:t>
            </w:r>
          </w:p>
        </w:tc>
        <w:tc>
          <w:tcPr>
            <w:tcW w:type="dxa" w:w="4513"/>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ACCEPTABLE</w:t>
            </w:r>
          </w:p>
        </w:tc>
      </w:tr>
      <w:tr>
        <w:tc>
          <w:tcPr>
            <w:tcW w:type="dxa" w:w="4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“Vous etes bien assure”</w:t>
            </w:r>
          </w:p>
        </w:tc>
        <w:tc>
          <w:tcPr>
            <w:tcW w:type="dxa" w:w="4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“Cette garantie semble presente dans votre contrat”</w:t>
            </w:r>
          </w:p>
        </w:tc>
      </w:tr>
      <w:tr>
        <w:tc>
          <w:tcPr>
            <w:tcW w:type="dxa" w:w="45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“Il vous manque la garantie X”</w:t>
            </w:r>
          </w:p>
        </w:tc>
        <w:tc>
          <w:tcPr>
            <w:tcW w:type="dxa" w:w="45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“Cette garantie n’a pas ete detectee dans votre document”</w:t>
            </w:r>
          </w:p>
        </w:tc>
      </w:tr>
      <w:tr>
        <w:tc>
          <w:tcPr>
            <w:tcW w:type="dxa" w:w="4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“Vous devriez augmenter votre capital”</w:t>
            </w:r>
          </w:p>
        </w:tc>
        <w:tc>
          <w:tcPr>
            <w:tcW w:type="dxa" w:w="4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“Un ecart possible a ete identifie”</w:t>
            </w:r>
          </w:p>
        </w:tc>
      </w:tr>
      <w:tr>
        <w:tc>
          <w:tcPr>
            <w:tcW w:type="dxa" w:w="45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“Vous n’etes pas protege”</w:t>
            </w:r>
          </w:p>
        </w:tc>
        <w:tc>
          <w:tcPr>
            <w:tcW w:type="dxa" w:w="45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“Nous n’avons pas identifie cette garantie dans votre document”</w:t>
            </w:r>
          </w:p>
        </w:tc>
      </w:tr>
      <w:tr>
        <w:tc>
          <w:tcPr>
            <w:tcW w:type="dxa" w:w="4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Score en pourcentage</w:t>
            </w:r>
          </w:p>
        </w:tc>
        <w:tc>
          <w:tcPr>
            <w:tcW w:type="dxa" w:w="4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Statut qualitatif (detecte / non detecte / non evaluable)</w:t>
            </w:r>
          </w:p>
        </w:tc>
      </w:tr>
      <w:tr>
        <w:tc>
          <w:tcPr>
            <w:tcW w:type="dxa" w:w="45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“Sous-assure”</w:t>
            </w:r>
          </w:p>
        </w:tc>
        <w:tc>
          <w:tcPr>
            <w:tcW w:type="dxa" w:w="45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“Ecart possible entre le capital assure et votre estimation”</w:t>
            </w:r>
          </w:p>
        </w:tc>
      </w:tr>
    </w:tbl>
    <w:p>
      <w:pPr>
        <w:pStyle w:val="Heading1"/>
        <w:pageBreakBefore/>
        <w:spacing w:after="200" w:before="240"/>
      </w:pPr>
      <w:r>
        <w:rPr>
          <w:rFonts w:ascii="Calibri" w:cs="Calibri" w:eastAsia="Calibri" w:hAnsi="Calibri"/>
          <w:b/>
          <w:bCs/>
          <w:color w:val="000d6e"/>
          <w:sz w:val="32"/>
          <w:szCs w:val="32"/>
        </w:rPr>
        <w:t xml:space="preserve">5. Modele metier d’adequation</w:t>
      </w:r>
    </w:p>
    <w:p>
      <w:pPr>
        <w:pStyle w:val="Heading2"/>
        <w:spacing w:after="160" w:before="200"/>
      </w:pPr>
      <w:r>
        <w:rPr>
          <w:rFonts w:ascii="Calibri" w:cs="Calibri" w:eastAsia="Calibri" w:hAnsi="Calibri"/>
          <w:b/>
          <w:bCs/>
          <w:color w:val="000d6e"/>
          <w:sz w:val="26"/>
          <w:szCs w:val="26"/>
        </w:rPr>
        <w:t xml:space="preserve">5.1 Les 4 statuts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1000"/>
        <w:gridCol w:w="1526"/>
      </w:tblGrid>
      <w:tr>
        <w:trPr>
          <w:tblHeader/>
        </w:trPr>
        <w:tc>
          <w:tcPr>
            <w:tcW w:type="dxa" w:w="1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Statut</w:t>
            </w:r>
          </w:p>
        </w:tc>
        <w:tc>
          <w:tcPr>
            <w:tcW w:type="dxa" w:w="2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Libelle FR</w:t>
            </w:r>
          </w:p>
        </w:tc>
        <w:tc>
          <w:tcPr>
            <w:tcW w:type="dxa" w:w="2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Libelle DE</w:t>
            </w:r>
          </w:p>
        </w:tc>
        <w:tc>
          <w:tcPr>
            <w:tcW w:type="dxa" w:w="1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Icone</w:t>
            </w:r>
          </w:p>
        </w:tc>
        <w:tc>
          <w:tcPr>
            <w:tcW w:type="dxa" w:w="1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Couleur</w:t>
            </w:r>
          </w:p>
        </w:tc>
      </w:tr>
      <w:tr>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detected</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Detecte dans votre contrat</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In Ihrem Vertrag erkannt</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Check</w:t>
            </w:r>
          </w:p>
        </w:tc>
        <w:tc>
          <w:tcPr>
            <w:tcW w:type="dxa" w:w="1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Ambre (PAS vert)</w:t>
            </w:r>
          </w:p>
        </w:tc>
      </w:tr>
      <w:tr>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partial</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Detecte avec reserve</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Mit Vorbehalt erkannt</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Triangle</w:t>
            </w:r>
          </w:p>
        </w:tc>
        <w:tc>
          <w:tcPr>
            <w:tcW w:type="dxa" w:w="1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Ambre fonce</w:t>
            </w:r>
          </w:p>
        </w:tc>
      </w:tr>
      <w:tr>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not_detected</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Non detecte dans ce document</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In diesem Dokument nicht erkannt</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Croix</w:t>
            </w:r>
          </w:p>
        </w:tc>
        <w:tc>
          <w:tcPr>
            <w:tcW w:type="dxa" w:w="1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Rouge doux</w:t>
            </w:r>
          </w:p>
        </w:tc>
      </w:tr>
      <w:tr>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not_evaluable</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Non evaluable</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Nicht bewertbar</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w:t>
            </w:r>
          </w:p>
        </w:tc>
        <w:tc>
          <w:tcPr>
            <w:tcW w:type="dxa" w:w="1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Gris</w:t>
            </w:r>
          </w:p>
        </w:tc>
      </w:tr>
    </w:tbl>
    <w:p>
      <w:pPr>
        <w:spacing w:after="60"/>
      </w:pPr>
    </w:p>
    <w:p>
      <w:pPr>
        <w:spacing w:after="120" w:before="0"/>
      </w:pPr>
      <w:r>
        <w:rPr>
          <w:rFonts w:ascii="Calibri" w:cs="Calibri" w:eastAsia="Calibri" w:hAnsi="Calibri"/>
          <w:b/>
          <w:bCs/>
          <w:sz w:val="22"/>
          <w:szCs w:val="22"/>
        </w:rPr>
        <w:t xml:space="preserve">Risk Manager : </w:t>
      </w:r>
      <w:r>
        <w:rPr>
          <w:rFonts w:ascii="Calibri" w:cs="Calibri" w:eastAsia="Calibri" w:hAnsi="Calibri"/>
          <w:sz w:val="22"/>
          <w:szCs w:val="22"/>
        </w:rPr>
        <w:t xml:space="preserve">le statut “detecte” utilise une icone AMBRE, pas verte. L’ambre signale “a priori present, mais a verifier”.</w:t>
      </w:r>
    </w:p>
    <w:p>
      <w:pPr>
        <w:spacing w:after="120" w:before="0"/>
      </w:pPr>
      <w:r>
        <w:rPr>
          <w:rFonts w:ascii="Calibri" w:cs="Calibri" w:eastAsia="Calibri" w:hAnsi="Calibri"/>
          <w:b/>
          <w:bCs/>
          <w:sz w:val="22"/>
          <w:szCs w:val="22"/>
        </w:rPr>
        <w:t xml:space="preserve">Actuaire : </w:t>
      </w:r>
      <w:r>
        <w:rPr>
          <w:rFonts w:ascii="Calibri" w:cs="Calibri" w:eastAsia="Calibri" w:hAnsi="Calibri"/>
          <w:sz w:val="22"/>
          <w:szCs w:val="22"/>
        </w:rPr>
        <w:t xml:space="preserve">si la confiance d’extraction &lt; 0.75, le statut est “non evaluable”, JAMAIS “detecte”.</w:t>
      </w:r>
    </w:p>
    <w:p>
      <w:pPr>
        <w:pStyle w:val="Heading2"/>
        <w:spacing w:after="160" w:before="200"/>
      </w:pPr>
      <w:r>
        <w:rPr>
          <w:rFonts w:ascii="Calibri" w:cs="Calibri" w:eastAsia="Calibri" w:hAnsi="Calibri"/>
          <w:b/>
          <w:bCs/>
          <w:color w:val="000d6e"/>
          <w:sz w:val="26"/>
          <w:szCs w:val="26"/>
        </w:rPr>
        <w:t xml:space="preserve">5.2 Phrases d’accompagnement client</w:t>
      </w:r>
    </w:p>
    <w:p>
      <w:pPr>
        <w:pStyle w:val="ListParagraph"/>
        <w:numPr>
          <w:ilvl w:val="0"/>
          <w:numId w:val="2"/>
        </w:numPr>
        <w:spacing w:after="60"/>
      </w:pPr>
      <w:r>
        <w:rPr>
          <w:rFonts w:ascii="Calibri" w:cs="Calibri" w:eastAsia="Calibri" w:hAnsi="Calibri"/>
          <w:b/>
          <w:bCs/>
          <w:sz w:val="22"/>
          <w:szCs w:val="22"/>
        </w:rPr>
        <w:t xml:space="preserve">Detecte : </w:t>
      </w:r>
      <w:r>
        <w:rPr>
          <w:rFonts w:ascii="Calibri" w:cs="Calibri" w:eastAsia="Calibri" w:hAnsi="Calibri"/>
          <w:sz w:val="22"/>
          <w:szCs w:val="22"/>
        </w:rPr>
        <w:t xml:space="preserve">“Cette garantie semble presente dans votre contrat. Verifiez les conditions exactes avec votre conseiller.”</w:t>
      </w:r>
    </w:p>
    <w:p>
      <w:pPr>
        <w:pStyle w:val="ListParagraph"/>
        <w:numPr>
          <w:ilvl w:val="0"/>
          <w:numId w:val="2"/>
        </w:numPr>
        <w:spacing w:after="60"/>
      </w:pPr>
      <w:r>
        <w:rPr>
          <w:rFonts w:ascii="Calibri" w:cs="Calibri" w:eastAsia="Calibri" w:hAnsi="Calibri"/>
          <w:b/>
          <w:bCs/>
          <w:sz w:val="22"/>
          <w:szCs w:val="22"/>
        </w:rPr>
        <w:t xml:space="preserve">Avec reserve : </w:t>
      </w:r>
      <w:r>
        <w:rPr>
          <w:rFonts w:ascii="Calibri" w:cs="Calibri" w:eastAsia="Calibri" w:hAnsi="Calibri"/>
          <w:sz w:val="22"/>
          <w:szCs w:val="22"/>
        </w:rPr>
        <w:t xml:space="preserve">“Cette garantie semble presente mais un ecart possible a ete identifie (franchise, plafond ou sous-limite).”</w:t>
      </w:r>
    </w:p>
    <w:p>
      <w:pPr>
        <w:pStyle w:val="ListParagraph"/>
        <w:numPr>
          <w:ilvl w:val="0"/>
          <w:numId w:val="2"/>
        </w:numPr>
        <w:spacing w:after="60"/>
      </w:pPr>
      <w:r>
        <w:rPr>
          <w:rFonts w:ascii="Calibri" w:cs="Calibri" w:eastAsia="Calibri" w:hAnsi="Calibri"/>
          <w:b/>
          <w:bCs/>
          <w:sz w:val="22"/>
          <w:szCs w:val="22"/>
        </w:rPr>
        <w:t xml:space="preserve">Non detecte : </w:t>
      </w:r>
      <w:r>
        <w:rPr>
          <w:rFonts w:ascii="Calibri" w:cs="Calibri" w:eastAsia="Calibri" w:hAnsi="Calibri"/>
          <w:sz w:val="22"/>
          <w:szCs w:val="22"/>
        </w:rPr>
        <w:t xml:space="preserve">“Nous n’avons pas identifie cette garantie dans votre document. Cela ne signifie pas necessairement qu’elle est absente de votre contrat.”</w:t>
      </w:r>
    </w:p>
    <w:p>
      <w:pPr>
        <w:pStyle w:val="ListParagraph"/>
        <w:numPr>
          <w:ilvl w:val="0"/>
          <w:numId w:val="2"/>
        </w:numPr>
        <w:spacing w:after="60"/>
      </w:pPr>
      <w:r>
        <w:rPr>
          <w:rFonts w:ascii="Calibri" w:cs="Calibri" w:eastAsia="Calibri" w:hAnsi="Calibri"/>
          <w:b/>
          <w:bCs/>
          <w:sz w:val="22"/>
          <w:szCs w:val="22"/>
        </w:rPr>
        <w:t xml:space="preserve">Non evaluable : </w:t>
      </w:r>
      <w:r>
        <w:rPr>
          <w:rFonts w:ascii="Calibri" w:cs="Calibri" w:eastAsia="Calibri" w:hAnsi="Calibri"/>
          <w:sz w:val="22"/>
          <w:szCs w:val="22"/>
        </w:rPr>
        <w:t xml:space="preserve">“L’information n’a pas pu etre extraite de maniere fiable. Consultez votre contrat ou votre conseiller.”</w:t>
      </w:r>
    </w:p>
    <w:p>
      <w:pPr>
        <w:pStyle w:val="Heading2"/>
        <w:spacing w:after="160" w:before="200"/>
      </w:pPr>
      <w:r>
        <w:rPr>
          <w:rFonts w:ascii="Calibri" w:cs="Calibri" w:eastAsia="Calibri" w:hAnsi="Calibri"/>
          <w:b/>
          <w:bCs/>
          <w:color w:val="000d6e"/>
          <w:sz w:val="26"/>
          <w:szCs w:val="26"/>
        </w:rPr>
        <w:t xml:space="preserve">5.3 Seuils de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Champ</w:t>
            </w:r>
          </w:p>
        </w:tc>
        <w:tc>
          <w:tcPr>
            <w:tcW w:type="dxa" w:w="24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Seuil “detecte”</w:t>
            </w:r>
          </w:p>
        </w:tc>
        <w:tc>
          <w:tcPr>
            <w:tcW w:type="dxa" w:w="22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Seuil “detecte avec reserve”</w:t>
            </w:r>
          </w:p>
        </w:tc>
        <w:tc>
          <w:tcPr>
            <w:tcW w:type="dxa" w:w="22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Source</w:t>
            </w:r>
          </w:p>
        </w:tc>
      </w:tr>
      <w:tr>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Capital contenu</w:t>
            </w:r>
          </w:p>
        </w:tc>
        <w:tc>
          <w:tcPr>
            <w:tcW w:type="dxa" w:w="2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70% de la tranche declaree</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40-70% de la tranche</w:t>
            </w:r>
          </w:p>
        </w:tc>
        <w:tc>
          <w:tcPr>
            <w:tcW w:type="dxa" w:w="2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Questionnaire / extraction</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Franchise principale</w:t>
            </w:r>
          </w:p>
        </w:tc>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&lt;= 500 EUR</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501-1 500 EUR</w:t>
            </w:r>
          </w:p>
        </w:tc>
        <w:tc>
          <w:tcPr>
            <w:tcW w:type="dxa" w:w="2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Standard marche LU</w:t>
            </w:r>
          </w:p>
        </w:tc>
      </w:tr>
      <w:tr>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Franchise DDE</w:t>
            </w:r>
          </w:p>
        </w:tc>
        <w:tc>
          <w:tcPr>
            <w:tcW w:type="dxa" w:w="2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&lt;= 300 EUR</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301-1 000 EUR</w:t>
            </w:r>
          </w:p>
        </w:tc>
        <w:tc>
          <w:tcPr>
            <w:tcW w:type="dxa" w:w="2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Standard marche LU</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Sous-limite objets de valeur</w:t>
            </w:r>
          </w:p>
        </w:tc>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&gt;= 30% du capital contenu</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15-30%</w:t>
            </w:r>
          </w:p>
        </w:tc>
        <w:tc>
          <w:tcPr>
            <w:tcW w:type="dxa" w:w="2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Ratio Baloise HOME</w:t>
            </w:r>
          </w:p>
        </w:tc>
      </w:tr>
      <w:tr>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RC occupant (plafond)</w:t>
            </w:r>
          </w:p>
        </w:tc>
        <w:tc>
          <w:tcPr>
            <w:tcW w:type="dxa" w:w="2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2 500 000 EUR</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1 500 000 - 2 500 000 EUR</w:t>
            </w:r>
          </w:p>
        </w:tc>
        <w:tc>
          <w:tcPr>
            <w:tcW w:type="dxa" w:w="2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Norme marche LU</w:t>
            </w:r>
          </w:p>
        </w:tc>
      </w:tr>
    </w:tbl>
    <w:p>
      <w:pPr>
        <w:spacing w:after="120" w:before="0"/>
      </w:pPr>
      <w:r>
        <w:rPr>
          <w:rFonts w:ascii="Calibri" w:cs="Calibri" w:eastAsia="Calibri" w:hAnsi="Calibri"/>
          <w:b/>
          <w:bCs/>
          <w:sz w:val="22"/>
          <w:szCs w:val="22"/>
        </w:rPr>
        <w:t xml:space="preserve">Ces seuils sont des INDICATEURS, pas des verdicts.</w:t>
      </w:r>
      <w:r>
        <w:rPr>
          <w:rFonts w:ascii="Calibri" w:cs="Calibri" w:eastAsia="Calibri" w:hAnsi="Calibri"/>
          <w:sz w:val="22"/>
          <w:szCs w:val="22"/>
        </w:rPr>
        <w:t xml:space="preserve"> Tout statut “detecte” porte la mention “sous reserve”.</w:t>
      </w:r>
    </w:p>
    <w:p>
      <w:pPr>
        <w:pStyle w:val="Heading1"/>
        <w:pageBreakBefore/>
        <w:spacing w:after="200" w:before="240"/>
      </w:pPr>
      <w:r>
        <w:rPr>
          <w:rFonts w:ascii="Calibri" w:cs="Calibri" w:eastAsia="Calibri" w:hAnsi="Calibri"/>
          <w:b/>
          <w:bCs/>
          <w:color w:val="000d6e"/>
          <w:sz w:val="32"/>
          <w:szCs w:val="32"/>
        </w:rPr>
        <w:t xml:space="preserve">6. Referentiel metier HOME</w:t>
      </w:r>
    </w:p>
    <w:p>
      <w:pPr>
        <w:spacing w:after="120" w:before="0"/>
      </w:pPr>
      <w:r>
        <w:rPr>
          <w:rFonts w:ascii="Calibri" w:cs="Calibri" w:eastAsia="Calibri" w:hAnsi="Calibri"/>
          <w:sz w:val="22"/>
          <w:szCs w:val="22"/>
        </w:rPr>
        <w:t xml:space="preserve">16 garanties normalisees avec synonymes assureurs LU (FR/DE), type de donnee, criticite (A/B/C), extractibilite et piege principal. Voir le referentiel complet en annexe du document source.</w:t>
      </w:r>
    </w:p>
    <w:p>
      <w:pPr>
        <w:spacing w:after="120" w:before="0"/>
      </w:pPr>
      <w:r>
        <w:rPr>
          <w:rFonts w:ascii="Calibri" w:cs="Calibri" w:eastAsia="Calibri" w:hAnsi="Calibri"/>
          <w:b/>
          <w:bCs/>
          <w:sz w:val="22"/>
          <w:szCs w:val="22"/>
        </w:rPr>
        <w:t xml:space="preserve">CP + TRG = base minimale viable. </w:t>
      </w:r>
      <w:r>
        <w:rPr>
          <w:rFonts w:ascii="Calibri" w:cs="Calibri" w:eastAsia="Calibri" w:hAnsi="Calibri"/>
          <w:sz w:val="22"/>
          <w:szCs w:val="22"/>
        </w:rPr>
        <w:t xml:space="preserve">L’IPID est un bonus pour confirmer presence/absence.</w:t>
      </w:r>
    </w:p>
    <w:p>
      <w:pPr>
        <w:pStyle w:val="Heading1"/>
        <w:pageBreakBefore/>
        <w:spacing w:after="200" w:before="240"/>
      </w:pPr>
      <w:r>
        <w:rPr>
          <w:rFonts w:ascii="Calibri" w:cs="Calibri" w:eastAsia="Calibri" w:hAnsi="Calibri"/>
          <w:b/>
          <w:bCs/>
          <w:color w:val="000d6e"/>
          <w:sz w:val="32"/>
          <w:szCs w:val="32"/>
        </w:rPr>
        <w:t xml:space="preserve">7. Architecture fonctionnelle cible</w:t>
      </w:r>
    </w:p>
    <w:p>
      <w:pPr>
        <w:pStyle w:val="Heading2"/>
        <w:spacing w:after="160" w:before="200"/>
      </w:pPr>
      <w:r>
        <w:rPr>
          <w:rFonts w:ascii="Calibri" w:cs="Calibri" w:eastAsia="Calibri" w:hAnsi="Calibri"/>
          <w:b/>
          <w:bCs/>
          <w:color w:val="000d6e"/>
          <w:sz w:val="26"/>
          <w:szCs w:val="26"/>
        </w:rPr>
        <w:t xml:space="preserve">7.1 Parcours client</w:t>
      </w:r>
    </w:p>
    <w:p>
      <w:pPr>
        <w:spacing w:after="0"/>
        <w:ind w:left="360"/>
      </w:pPr>
      <w:r>
        <w:rPr>
          <w:rFonts w:ascii="Courier New" w:cs="Courier New" w:eastAsia="Courier New" w:hAnsi="Courier New"/>
          <w:color w:val="333333"/>
          <w:sz w:val="18"/>
          <w:szCs w:val="18"/>
        </w:rPr>
        <w:t xml:space="preserve">Etape 1 : DECLENCHEMENT</w:t>
      </w:r>
    </w:p>
    <w:p>
      <w:pPr>
        <w:spacing w:after="0"/>
        <w:ind w:left="360"/>
      </w:pPr>
      <w:r>
        <w:rPr>
          <w:rFonts w:ascii="Courier New" w:cs="Courier New" w:eastAsia="Courier New" w:hAnsi="Courier New"/>
          <w:color w:val="333333"/>
          <w:sz w:val="18"/>
          <w:szCs w:val="18"/>
        </w:rPr>
        <w:t xml:space="preserve">   Questionnaire biens complete + contrat MRH declare</w:t>
      </w:r>
    </w:p>
    <w:p>
      <w:pPr>
        <w:spacing w:after="0"/>
        <w:ind w:left="360"/>
      </w:pPr>
      <w:r>
        <w:rPr>
          <w:rFonts w:ascii="Courier New" w:cs="Courier New" w:eastAsia="Courier New" w:hAnsi="Courier New"/>
          <w:color w:val="333333"/>
          <w:sz w:val="18"/>
          <w:szCs w:val="18"/>
        </w:rPr>
        <w:t xml:space="preserve">   → CTA “Faites le point sur votre assurance habitation”</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Etape 2 : UPLOAD</w:t>
      </w:r>
    </w:p>
    <w:p>
      <w:pPr>
        <w:spacing w:after="0"/>
        <w:ind w:left="360"/>
      </w:pPr>
      <w:r>
        <w:rPr>
          <w:rFonts w:ascii="Courier New" w:cs="Courier New" w:eastAsia="Courier New" w:hAnsi="Courier New"/>
          <w:color w:val="333333"/>
          <w:sz w:val="18"/>
          <w:szCs w:val="18"/>
        </w:rPr>
        <w:t xml:space="preserve">   “Importer votre document”</w:t>
      </w:r>
    </w:p>
    <w:p>
      <w:pPr>
        <w:spacing w:after="0"/>
        <w:ind w:left="360"/>
      </w:pPr>
      <w:r>
        <w:rPr>
          <w:rFonts w:ascii="Courier New" w:cs="Courier New" w:eastAsia="Courier New" w:hAnsi="Courier New"/>
          <w:color w:val="333333"/>
          <w:sz w:val="18"/>
          <w:szCs w:val="18"/>
        </w:rPr>
        <w:t xml:space="preserve">   Formats : PDF (recommande), JPEG, PNG — 10 Mo max</w:t>
      </w:r>
    </w:p>
    <w:p>
      <w:pPr>
        <w:spacing w:after="0"/>
        <w:ind w:left="360"/>
      </w:pPr>
      <w:r>
        <w:rPr>
          <w:rFonts w:ascii="Courier New" w:cs="Courier New" w:eastAsia="Courier New" w:hAnsi="Courier New"/>
          <w:color w:val="333333"/>
          <w:sz w:val="18"/>
          <w:szCs w:val="18"/>
        </w:rPr>
        <w:t xml:space="preserve">   Sous-texte : “Pour une analyse automatique, importez de preference</w:t>
      </w:r>
    </w:p>
    <w:p>
      <w:pPr>
        <w:spacing w:after="0"/>
        <w:ind w:left="360"/>
      </w:pPr>
      <w:r>
        <w:rPr>
          <w:rFonts w:ascii="Courier New" w:cs="Courier New" w:eastAsia="Courier New" w:hAnsi="Courier New"/>
          <w:color w:val="333333"/>
          <w:sz w:val="18"/>
          <w:szCs w:val="18"/>
        </w:rPr>
        <w:t xml:space="preserve">   le PDF recu de votre assureur.”</w:t>
      </w:r>
    </w:p>
    <w:p>
      <w:pPr>
        <w:spacing w:after="0"/>
        <w:ind w:left="360"/>
      </w:pPr>
      <w:r>
        <w:rPr>
          <w:rFonts w:ascii="Courier New" w:cs="Courier New" w:eastAsia="Courier New" w:hAnsi="Courier New"/>
          <w:color w:val="333333"/>
          <w:sz w:val="18"/>
          <w:szCs w:val="18"/>
        </w:rPr>
        <w:t xml:space="preserve">   Disclaimer consent (checkbox)</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Etape 3 : CONFIRMATION (1 ecran, 2 champs pre-remplis)</w:t>
      </w:r>
    </w:p>
    <w:p>
      <w:pPr>
        <w:spacing w:after="0"/>
        <w:ind w:left="360"/>
      </w:pPr>
      <w:r>
        <w:rPr>
          <w:rFonts w:ascii="Courier New" w:cs="Courier New" w:eastAsia="Courier New" w:hAnsi="Courier New"/>
          <w:color w:val="333333"/>
          <w:sz w:val="18"/>
          <w:szCs w:val="18"/>
        </w:rPr>
        <w:t xml:space="preserve">   Type de bien + Statut (proprietaire/locataire)</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Etape 4 : TRAITEMENT</w:t>
      </w:r>
    </w:p>
    <w:p>
      <w:pPr>
        <w:spacing w:after="0"/>
        <w:ind w:left="360"/>
      </w:pPr>
      <w:r>
        <w:rPr>
          <w:rFonts w:ascii="Courier New" w:cs="Courier New" w:eastAsia="Courier New" w:hAnsi="Courier New"/>
          <w:color w:val="333333"/>
          <w:sz w:val="18"/>
          <w:szCs w:val="18"/>
        </w:rPr>
        <w:t xml:space="preserve">   PDF natif → extraction automatique Mistral</w:t>
      </w:r>
    </w:p>
    <w:p>
      <w:pPr>
        <w:spacing w:after="0"/>
        <w:ind w:left="360"/>
      </w:pPr>
      <w:r>
        <w:rPr>
          <w:rFonts w:ascii="Courier New" w:cs="Courier New" w:eastAsia="Courier New" w:hAnsi="Courier New"/>
          <w:color w:val="333333"/>
          <w:sz w:val="18"/>
          <w:szCs w:val="18"/>
        </w:rPr>
        <w:t xml:space="preserve">   Scan/image → message + saisie manuelle</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Etape 5 : RESULTAT</w:t>
      </w:r>
    </w:p>
    <w:p>
      <w:pPr>
        <w:spacing w:after="0"/>
        <w:ind w:left="360"/>
      </w:pPr>
      <w:r>
        <w:rPr>
          <w:rFonts w:ascii="Courier New" w:cs="Courier New" w:eastAsia="Courier New" w:hAnsi="Courier New"/>
          <w:color w:val="333333"/>
          <w:sz w:val="18"/>
          <w:szCs w:val="18"/>
        </w:rPr>
        <w:t xml:space="preserve">   Synthese par statut + detail par garantie + disclaimer</w:t>
      </w:r>
    </w:p>
    <w:p>
      <w:pPr>
        <w:spacing w:after="0"/>
        <w:ind w:left="360"/>
      </w:pPr>
      <w:r>
        <w:rPr>
          <w:rFonts w:ascii="Courier New" w:cs="Courier New" w:eastAsia="Courier New" w:hAnsi="Courier New"/>
          <w:color w:val="333333"/>
          <w:sz w:val="18"/>
          <w:szCs w:val="18"/>
        </w:rPr>
        <w:t xml:space="preserve">   CTA : “Prendre RDV avec un conseiller”</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Etape 6 : ACTION</w:t>
      </w:r>
    </w:p>
    <w:p>
      <w:pPr>
        <w:spacing w:after="0"/>
        <w:ind w:left="360"/>
      </w:pPr>
      <w:r>
        <w:rPr>
          <w:rFonts w:ascii="Courier New" w:cs="Courier New" w:eastAsia="Courier New" w:hAnsi="Courier New"/>
          <w:color w:val="333333"/>
          <w:sz w:val="18"/>
          <w:szCs w:val="18"/>
        </w:rPr>
        <w:t xml:space="preserve">   RDV → lead qualifie | PDF → trace audit</w:t>
      </w:r>
    </w:p>
    <w:p>
      <w:pPr>
        <w:pStyle w:val="Heading2"/>
        <w:spacing w:after="160" w:before="200"/>
      </w:pPr>
      <w:r>
        <w:rPr>
          <w:rFonts w:ascii="Calibri" w:cs="Calibri" w:eastAsia="Calibri" w:hAnsi="Calibri"/>
          <w:b/>
          <w:bCs/>
          <w:color w:val="000d6e"/>
          <w:sz w:val="26"/>
          <w:szCs w:val="26"/>
        </w:rPr>
        <w:t xml:space="preserve">7.2 Matrice de demarrage IDD</w:t>
      </w:r>
    </w:p>
    <w:p>
      <w:pPr>
        <w:spacing w:after="120" w:before="0"/>
      </w:pPr>
      <w:r>
        <w:rPr>
          <w:rFonts w:ascii="Calibri" w:cs="Calibri" w:eastAsia="Calibri" w:hAnsi="Calibri"/>
          <w:b/>
          <w:bCs/>
          <w:sz w:val="22"/>
          <w:szCs w:val="22"/>
        </w:rPr>
        <w:t xml:space="preserve">Regle : </w:t>
      </w:r>
      <w:r>
        <w:rPr>
          <w:rFonts w:ascii="Calibri" w:cs="Calibri" w:eastAsia="Calibri" w:hAnsi="Calibri"/>
          <w:sz w:val="22"/>
          <w:szCs w:val="22"/>
        </w:rPr>
        <w:t xml:space="preserve">tout ce qui ne montre pas de resultat au client peut demarrer avant validation IDD.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526"/>
      </w:tblGrid>
      <w:tr>
        <w:trPr>
          <w:tblHeader/>
        </w:trPr>
        <w:tc>
          <w:tcPr>
            <w:tcW w:type="dxa" w:w="3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Composant</w:t>
            </w:r>
          </w:p>
        </w:tc>
        <w:tc>
          <w:tcPr>
            <w:tcW w:type="dxa" w:w="1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Avant IDD ?</w:t>
            </w:r>
          </w:p>
        </w:tc>
        <w:tc>
          <w:tcPr>
            <w:tcW w:type="dxa" w:w="4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Condition</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Backend (migration, extraction, moteur, Zod)</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OUI</w:t>
            </w:r>
          </w:p>
        </w:tc>
        <w:tc>
          <w:tcPr>
            <w:tcW w:type="dxa" w:w="4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Aucune</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CTA factice (Phase 0)</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OUI</w:t>
            </w:r>
          </w:p>
        </w:tc>
        <w:tc>
          <w:tcPr>
            <w:tcW w:type="dxa" w:w="4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Ne delivre aucun resultat</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Ecran d’upload + confirmation</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OUI</w:t>
            </w:r>
          </w:p>
        </w:tc>
        <w:tc>
          <w:tcPr>
            <w:tcW w:type="dxa" w:w="4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Collecte un document, ne restitue rien</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Ecran de restitution des resultats</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NON</w:t>
            </w:r>
          </w:p>
        </w:tc>
        <w:tc>
          <w:tcPr>
            <w:tcW w:type="dxa" w:w="4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Affiche des statuts = risque IDD</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Wordings des statuts client</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NON</w:t>
            </w:r>
          </w:p>
        </w:tc>
        <w:tc>
          <w:tcPr>
            <w:tcW w:type="dxa" w:w="4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Valides avec le juridique</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PDF export adequation</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NON</w:t>
            </w:r>
          </w:p>
        </w:tc>
        <w:tc>
          <w:tcPr>
            <w:tcW w:type="dxa" w:w="4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Contient les resultats</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Parcours conseiller</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NON</w:t>
            </w:r>
          </w:p>
        </w:tc>
        <w:tc>
          <w:tcPr>
            <w:tcW w:type="dxa" w:w="4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Idem</w:t>
            </w:r>
          </w:p>
        </w:tc>
      </w:tr>
    </w:tbl>
    <w:p>
      <w:pPr>
        <w:pStyle w:val="Heading2"/>
        <w:spacing w:after="160" w:before="200"/>
      </w:pPr>
      <w:r>
        <w:rPr>
          <w:rFonts w:ascii="Calibri" w:cs="Calibri" w:eastAsia="Calibri" w:hAnsi="Calibri"/>
          <w:b/>
          <w:bCs/>
          <w:color w:val="000d6e"/>
          <w:sz w:val="26"/>
          <w:szCs w:val="26"/>
        </w:rPr>
        <w:t xml:space="preserve">7.3 UX de l’incertitude</w:t>
      </w:r>
    </w:p>
    <w:p>
      <w:pPr>
        <w:pStyle w:val="ListParagraph"/>
        <w:numPr>
          <w:ilvl w:val="0"/>
          <w:numId w:val="2"/>
        </w:numPr>
        <w:spacing w:after="60"/>
      </w:pPr>
      <w:r>
        <w:rPr>
          <w:rFonts w:ascii="Calibri" w:cs="Calibri" w:eastAsia="Calibri" w:hAnsi="Calibri"/>
          <w:sz w:val="22"/>
          <w:szCs w:val="22"/>
        </w:rPr>
        <w:t xml:space="preserve">Statuts visuellement distincts : check ambre, triangle ambre fonce, croix rouge doux, “?” gris</w:t>
      </w:r>
    </w:p>
    <w:p>
      <w:pPr>
        <w:pStyle w:val="ListParagraph"/>
        <w:numPr>
          <w:ilvl w:val="0"/>
          <w:numId w:val="2"/>
        </w:numPr>
        <w:spacing w:after="60"/>
      </w:pPr>
      <w:r>
        <w:rPr>
          <w:rFonts w:ascii="Calibri" w:cs="Calibri" w:eastAsia="Calibri" w:hAnsi="Calibri"/>
          <w:sz w:val="22"/>
          <w:szCs w:val="22"/>
        </w:rPr>
        <w:t xml:space="preserve">“Non evaluable” visuellement DISTINCT de “non detecte”</w:t>
      </w:r>
    </w:p>
    <w:p>
      <w:pPr>
        <w:pStyle w:val="ListParagraph"/>
        <w:numPr>
          <w:ilvl w:val="0"/>
          <w:numId w:val="2"/>
        </w:numPr>
        <w:spacing w:after="60"/>
      </w:pPr>
      <w:r>
        <w:rPr>
          <w:rFonts w:ascii="Calibri" w:cs="Calibri" w:eastAsia="Calibri" w:hAnsi="Calibri"/>
          <w:sz w:val="22"/>
          <w:szCs w:val="22"/>
        </w:rPr>
        <w:t xml:space="preserve">Presentation : detecte d’abord, puis reserves, puis non detectes</w:t>
      </w:r>
    </w:p>
    <w:p>
      <w:pPr>
        <w:pStyle w:val="ListParagraph"/>
        <w:numPr>
          <w:ilvl w:val="0"/>
          <w:numId w:val="2"/>
        </w:numPr>
        <w:spacing w:after="60"/>
      </w:pPr>
      <w:r>
        <w:rPr>
          <w:rFonts w:ascii="Calibri" w:cs="Calibri" w:eastAsia="Calibri" w:hAnsi="Calibri"/>
          <w:sz w:val="22"/>
          <w:szCs w:val="22"/>
        </w:rPr>
        <w:t xml:space="preserve">Chaque statut accompagne d’une phrase factuelle + renvoi conseiller</w:t>
      </w:r>
    </w:p>
    <w:p>
      <w:pPr>
        <w:pStyle w:val="Heading1"/>
        <w:pageBreakBefore/>
        <w:spacing w:after="200" w:before="240"/>
      </w:pPr>
      <w:r>
        <w:rPr>
          <w:rFonts w:ascii="Calibri" w:cs="Calibri" w:eastAsia="Calibri" w:hAnsi="Calibri"/>
          <w:b/>
          <w:bCs/>
          <w:color w:val="000d6e"/>
          <w:sz w:val="32"/>
          <w:szCs w:val="32"/>
        </w:rPr>
        <w:t xml:space="preserve">8. Position technologique</w:t>
      </w:r>
    </w:p>
    <w:p>
      <w:pPr>
        <w:pStyle w:val="Heading2"/>
        <w:spacing w:after="160" w:before="200"/>
      </w:pPr>
      <w:r>
        <w:rPr>
          <w:rFonts w:ascii="Calibri" w:cs="Calibri" w:eastAsia="Calibri" w:hAnsi="Calibri"/>
          <w:b/>
          <w:bCs/>
          <w:color w:val="000d6e"/>
          <w:sz w:val="26"/>
          <w:szCs w:val="26"/>
        </w:rPr>
        <w:t xml:space="preserve">8.1 Contexte</w:t>
      </w:r>
    </w:p>
    <w:p>
      <w:pPr>
        <w:spacing w:after="120" w:before="0"/>
      </w:pPr>
      <w:r>
        <w:rPr>
          <w:rFonts w:ascii="Calibri" w:cs="Calibri" w:eastAsia="Calibri" w:hAnsi="Calibri"/>
          <w:sz w:val="22"/>
          <w:szCs w:val="22"/>
        </w:rPr>
        <w:t xml:space="preserve">Le scope MRH Luxembourg est un domaine considerablement plus restreint que la V1 : 5 assureurs, 16 garanties, 2 langues. Cela reduit la complexite, mais ne l’elimine pas. Les contrats MRH luxembourgeois presentent une heterogeneite reelle : conventions de presentation differentes, terminologie variable entre assureurs, champs parfois absents ou fusionnes. Ce n’est plus un probleme de comprehension ouverte du langage naturel, mais ce n’est pas non plus un simple pattern matching. C’est un probleme de </w:t>
      </w:r>
      <w:r>
        <w:rPr>
          <w:rFonts w:ascii="Calibri" w:cs="Calibri" w:eastAsia="Calibri" w:hAnsi="Calibri"/>
          <w:b/>
          <w:bCs/>
          <w:sz w:val="22"/>
          <w:szCs w:val="22"/>
        </w:rPr>
        <w:t xml:space="preserve">structuration guidee avec supervision humaine legere</w:t>
      </w:r>
      <w:r>
        <w:rPr>
          <w:rFonts w:ascii="Calibri" w:cs="Calibri" w:eastAsia="Calibri" w:hAnsi="Calibri"/>
          <w:sz w:val="22"/>
          <w:szCs w:val="22"/>
        </w:rPr>
        <w:t xml:space="preserve">.</w:t>
      </w:r>
    </w:p>
    <w:p>
      <w:pPr>
        <w:pStyle w:val="Heading2"/>
        <w:spacing w:after="160" w:before="200"/>
      </w:pPr>
      <w:r>
        <w:rPr>
          <w:rFonts w:ascii="Calibri" w:cs="Calibri" w:eastAsia="Calibri" w:hAnsi="Calibri"/>
          <w:b/>
          <w:bCs/>
          <w:color w:val="000d6e"/>
          <w:sz w:val="26"/>
          <w:szCs w:val="26"/>
        </w:rPr>
        <w:t xml:space="preserve">8.2 Recommandation : Option B — pdf-parse + Mistral Large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26"/>
        <w:gridCol w:w="2000"/>
      </w:tblGrid>
      <w:tr>
        <w:trPr>
          <w:tblHeader/>
        </w:trPr>
        <w:tc>
          <w:tcPr>
            <w:tcW w:type="dxa" w:w="2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Critere</w:t>
            </w:r>
          </w:p>
        </w:tc>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 : OCR + regles</w:t>
            </w:r>
          </w:p>
        </w:tc>
        <w:tc>
          <w:tcPr>
            <w:tcW w:type="dxa" w:w="2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B : pdf-parse + LLM</w:t>
            </w:r>
          </w:p>
        </w:tc>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 : Full LLM vision</w:t>
            </w:r>
          </w:p>
        </w:tc>
      </w:tr>
      <w:tr>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Precision PDF natifs</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80-88%</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92-96%</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93-96%</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Precision scans</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0%</w:t>
            </w:r>
          </w:p>
        </w:tc>
        <w:tc>
          <w:tcPr>
            <w:tcW w:type="dxa" w:w="2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70-80%</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88-93%</w:t>
            </w:r>
          </w:p>
        </w:tc>
      </w:tr>
      <w:tr>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Testabilite CI/CD</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Excellente</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Partielle</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Faible</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Cout mensuel (500p)</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0 EUR</w:t>
            </w:r>
          </w:p>
        </w:tc>
        <w:tc>
          <w:tcPr>
            <w:tcW w:type="dxa" w:w="2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8-15 EUR</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15-25 EUR</w:t>
            </w:r>
          </w:p>
        </w:tc>
      </w:tr>
      <w:tr>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Maintenance prompt</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N/A (dict. lourd)</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Legere (revue trim.)</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Legere</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Risque hallucination</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Zero</w:t>
            </w:r>
          </w:p>
        </w:tc>
        <w:tc>
          <w:tcPr>
            <w:tcW w:type="dxa" w:w="2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Faible</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Modere</w:t>
            </w:r>
          </w:p>
        </w:tc>
      </w:tr>
      <w:tr>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Gestion FR/DE</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Rigide</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Excellente</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Excellente</w:t>
            </w:r>
          </w:p>
        </w:tc>
      </w:tr>
    </w:tbl>
    <w:p>
      <w:pPr>
        <w:spacing w:after="60"/>
      </w:pPr>
    </w:p>
    <w:p>
      <w:pPr>
        <w:spacing w:after="120" w:before="0"/>
      </w:pPr>
      <w:r>
        <w:rPr>
          <w:rFonts w:ascii="Calibri" w:cs="Calibri" w:eastAsia="Calibri" w:hAnsi="Calibri"/>
          <w:sz w:val="22"/>
          <w:szCs w:val="22"/>
        </w:rPr>
        <w:t xml:space="preserve">Le LLM remplace le dictionnaire de regles explicite, pas le besoin de normalisation. Le prompt MRH contient une table de mapping des 16 garanties avec leurs synonymes FR/DE. Ce prompt est un artefact a maintenir : revise a chaque ajout d’assureur et lors du monitoring mensuel.</w:t>
      </w:r>
    </w:p>
    <w:p>
      <w:pPr>
        <w:spacing w:after="120" w:before="0"/>
      </w:pPr>
      <w:r>
        <w:rPr>
          <w:rFonts w:ascii="Calibri" w:cs="Calibri" w:eastAsia="Calibri" w:hAnsi="Calibri"/>
          <w:b/>
          <w:bCs/>
          <w:sz w:val="22"/>
          <w:szCs w:val="22"/>
        </w:rPr>
        <w:t xml:space="preserve">Le LLM est un accelerateur, pas un pilote automatique.</w:t>
      </w:r>
      <w:r>
        <w:rPr>
          <w:rFonts w:ascii="Calibri" w:cs="Calibri" w:eastAsia="Calibri" w:hAnsi="Calibri"/>
          <w:sz w:val="22"/>
          <w:szCs w:val="22"/>
        </w:rPr>
        <w:t xml:space="preserve"> Prevoir 0.5 jour/mois de maintenance du prompt et du monitoring qualite.</w:t>
      </w:r>
    </w:p>
    <w:p>
      <w:pPr>
        <w:pStyle w:val="Heading2"/>
        <w:spacing w:after="160" w:before="200"/>
      </w:pPr>
      <w:r>
        <w:rPr>
          <w:rFonts w:ascii="Calibri" w:cs="Calibri" w:eastAsia="Calibri" w:hAnsi="Calibri"/>
          <w:b/>
          <w:bCs/>
          <w:color w:val="000d6e"/>
          <w:sz w:val="26"/>
          <w:szCs w:val="26"/>
        </w:rPr>
        <w:t xml:space="preserve">8.3 Automatise / Supervise / N’essaie 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rPr>
          <w:tblHeader/>
        </w:trPr>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On automatise</w:t>
            </w:r>
          </w:p>
        </w:tc>
        <w:tc>
          <w:tcPr>
            <w:tcW w:type="dxa" w:w="3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On supervise</w:t>
            </w:r>
          </w:p>
        </w:tc>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On n’essaie pas</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Extraction texte via pdf-parse</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Taux “non evaluable” par assureur</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Interpretation des CG</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Structuration JSON via Mistral</w:t>
            </w:r>
          </w:p>
        </w:tc>
        <w:tc>
          <w:tcPr>
            <w:tcW w:type="dxa" w:w="3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Correction utilisateur par champ</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Extraction des exclusions</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Validation Zod (enum, bornes)</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Coherence vs avis conseiller (20 cas/mois)</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Detection sous-assurance</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Detection PDF natif vs scan</w:t>
            </w:r>
          </w:p>
        </w:tc>
        <w:tc>
          <w:tcPr>
            <w:tcW w:type="dxa" w:w="3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Revue prompt trimestrielle</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Champs inconnus → non evaluable</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Classification MRH / non-MRH</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Alertes hallucination</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Documents manuscrits</w:t>
            </w:r>
          </w:p>
        </w:tc>
      </w:tr>
    </w:tbl>
    <w:p>
      <w:pPr>
        <w:pStyle w:val="Heading2"/>
        <w:spacing w:after="160" w:before="200"/>
      </w:pPr>
      <w:r>
        <w:rPr>
          <w:rFonts w:ascii="Calibri" w:cs="Calibri" w:eastAsia="Calibri" w:hAnsi="Calibri"/>
          <w:b/>
          <w:bCs/>
          <w:color w:val="000d6e"/>
          <w:sz w:val="26"/>
          <w:szCs w:val="26"/>
        </w:rPr>
        <w:t xml:space="preserve">8.4 Schema TypeScript</w:t>
      </w:r>
    </w:p>
    <w:p>
      <w:pPr>
        <w:spacing w:after="0"/>
        <w:ind w:left="360"/>
      </w:pPr>
      <w:r>
        <w:rPr>
          <w:rFonts w:ascii="Courier New" w:cs="Courier New" w:eastAsia="Courier New" w:hAnsi="Courier New"/>
          <w:color w:val="333333"/>
          <w:sz w:val="18"/>
          <w:szCs w:val="18"/>
        </w:rPr>
        <w:t xml:space="preserve">export type MrhGuaranteeId =</w:t>
      </w:r>
    </w:p>
    <w:p>
      <w:pPr>
        <w:spacing w:after="0"/>
        <w:ind w:left="360"/>
      </w:pPr>
      <w:r>
        <w:rPr>
          <w:rFonts w:ascii="Courier New" w:cs="Courier New" w:eastAsia="Courier New" w:hAnsi="Courier New"/>
          <w:color w:val="333333"/>
          <w:sz w:val="18"/>
          <w:szCs w:val="18"/>
        </w:rPr>
        <w:t xml:space="preserve">  | 'fire' | 'water_damage' | 'theft' | 'glass_breakage'</w:t>
      </w:r>
    </w:p>
    <w:p>
      <w:pPr>
        <w:spacing w:after="0"/>
        <w:ind w:left="360"/>
      </w:pPr>
      <w:r>
        <w:rPr>
          <w:rFonts w:ascii="Courier New" w:cs="Courier New" w:eastAsia="Courier New" w:hAnsi="Courier New"/>
          <w:color w:val="333333"/>
          <w:sz w:val="18"/>
          <w:szCs w:val="18"/>
        </w:rPr>
        <w:t xml:space="preserve">  | 'storm' | 'natural_disaster' | 'electrical_damage'</w:t>
      </w:r>
    </w:p>
    <w:p>
      <w:pPr>
        <w:spacing w:after="0"/>
        <w:ind w:left="360"/>
      </w:pPr>
      <w:r>
        <w:rPr>
          <w:rFonts w:ascii="Courier New" w:cs="Courier New" w:eastAsia="Courier New" w:hAnsi="Courier New"/>
          <w:color w:val="333333"/>
          <w:sz w:val="18"/>
          <w:szCs w:val="18"/>
        </w:rPr>
        <w:t xml:space="preserve">  | 'liability' | 'valuables'</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export type AdequacyStatus = 'detected' | 'partial' | 'not_detected' | 'not_evaluable'</w:t>
      </w:r>
    </w:p>
    <w:p>
      <w:pPr>
        <w:pStyle w:val="Heading1"/>
        <w:pageBreakBefore/>
        <w:spacing w:after="200" w:before="240"/>
      </w:pPr>
      <w:r>
        <w:rPr>
          <w:rFonts w:ascii="Calibri" w:cs="Calibri" w:eastAsia="Calibri" w:hAnsi="Calibri"/>
          <w:b/>
          <w:bCs/>
          <w:color w:val="000d6e"/>
          <w:sz w:val="32"/>
          <w:szCs w:val="32"/>
        </w:rPr>
        <w:t xml:space="preserve">9. Strategie de phasage</w:t>
      </w:r>
    </w:p>
    <w:p>
      <w:pPr>
        <w:pStyle w:val="Heading2"/>
        <w:spacing w:after="160" w:before="200"/>
      </w:pPr>
      <w:r>
        <w:rPr>
          <w:rFonts w:ascii="Calibri" w:cs="Calibri" w:eastAsia="Calibri" w:hAnsi="Calibri"/>
          <w:b/>
          <w:bCs/>
          <w:color w:val="000d6e"/>
          <w:sz w:val="26"/>
          <w:szCs w:val="26"/>
        </w:rPr>
        <w:t xml:space="preserve">Phase 0 : Validation marche (4 semaines)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Element</w:t>
            </w:r>
          </w:p>
        </w:tc>
        <w:tc>
          <w:tcPr>
            <w:tcW w:type="dxa" w:w="7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Detail</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Action</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CTA factice “Faites le point” sur ResultsPage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Seuil GO</w:t>
            </w:r>
          </w:p>
        </w:tc>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&gt; 10% taux de clic</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Seuil NO-GO</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&lt; 5%</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Effort</w:t>
            </w:r>
          </w:p>
        </w:tc>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2 jours dev</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En parallele</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IDD + DPIA + constitution corpus</w:t>
            </w:r>
          </w:p>
        </w:tc>
      </w:tr>
    </w:tbl>
    <w:p>
      <w:pPr>
        <w:pStyle w:val="Heading2"/>
        <w:spacing w:after="160" w:before="200"/>
      </w:pPr>
      <w:r>
        <w:rPr>
          <w:rFonts w:ascii="Calibri" w:cs="Calibri" w:eastAsia="Calibri" w:hAnsi="Calibri"/>
          <w:b/>
          <w:bCs/>
          <w:color w:val="000d6e"/>
          <w:sz w:val="26"/>
          <w:szCs w:val="26"/>
        </w:rPr>
        <w:t xml:space="preserve">Phase 1 : Minimale credible (6-8 semaines)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Element</w:t>
            </w:r>
          </w:p>
        </w:tc>
        <w:tc>
          <w:tcPr>
            <w:tcW w:type="dxa" w:w="7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Detail</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Scope</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PDF natifs auto + images acceptees (redirigees vers saisie manuelle). 5 assureurs LU.</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Extraction</w:t>
            </w:r>
          </w:p>
        </w:tc>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pdf-parse + Mistral Large (texte seul). Pas de vision.</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Fallback</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Document non exploitable auto → saisie manuelle. Aucune promesse d’analyse auto pour les images.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Adequation</w:t>
            </w:r>
          </w:p>
        </w:tc>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Moteur TypeScript, 4 statuts, deterministe</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GO/NO-GO</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IDD validee + DPIA + precision A &gt;= 85% + faux positifs &lt; 10% + coherence conseiller &gt;= 75%</w:t>
            </w:r>
          </w:p>
        </w:tc>
      </w:tr>
    </w:tbl>
    <w:p>
      <w:pPr>
        <w:pStyle w:val="Heading2"/>
        <w:spacing w:after="160" w:before="200"/>
      </w:pPr>
      <w:r>
        <w:rPr>
          <w:rFonts w:ascii="Calibri" w:cs="Calibri" w:eastAsia="Calibri" w:hAnsi="Calibri"/>
          <w:b/>
          <w:bCs/>
          <w:color w:val="000d6e"/>
          <w:sz w:val="26"/>
          <w:szCs w:val="26"/>
        </w:rPr>
        <w:t xml:space="preserve">Phase 2 : Enrichissement (6-10 semaines apres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Element</w:t>
            </w:r>
          </w:p>
        </w:tc>
        <w:tc>
          <w:tcPr>
            <w:tcW w:type="dxa" w:w="7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Detail</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Scope</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Scans/photos via Pixtral. IPID pour validation croisee.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Garanties</w:t>
            </w:r>
          </w:p>
        </w:tc>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Ajout des 8 garanties B</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GO/NO-GO</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Precision &gt;= 85% en production + correction &lt; 30% + feedback conseillers</w:t>
            </w:r>
          </w:p>
        </w:tc>
      </w:tr>
    </w:tbl>
    <w:p>
      <w:pPr>
        <w:pStyle w:val="Heading1"/>
        <w:pageBreakBefore/>
        <w:spacing w:after="200" w:before="240"/>
      </w:pPr>
      <w:r>
        <w:rPr>
          <w:rFonts w:ascii="Calibri" w:cs="Calibri" w:eastAsia="Calibri" w:hAnsi="Calibri"/>
          <w:b/>
          <w:bCs/>
          <w:color w:val="000d6e"/>
          <w:sz w:val="32"/>
          <w:szCs w:val="32"/>
        </w:rPr>
        <w:t xml:space="preserve">10. Risques majeurs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800"/>
        <w:gridCol w:w="1000"/>
        <w:gridCol w:w="4526"/>
      </w:tblGrid>
      <w:tr>
        <w:trPr>
          <w:tblHeader/>
        </w:trPr>
        <w:tc>
          <w:tcPr>
            <w:tcW w:type="dxa" w:w="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Risque</w:t>
            </w:r>
          </w:p>
        </w:tc>
        <w:tc>
          <w:tcPr>
            <w:tcW w:type="dxa" w:w="8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Prob.</w:t>
            </w:r>
          </w:p>
        </w:tc>
        <w:tc>
          <w:tcPr>
            <w:tcW w:type="dxa" w:w="1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Impact</w:t>
            </w:r>
          </w:p>
        </w:tc>
        <w:tc>
          <w:tcPr>
            <w:tcW w:type="dxa" w:w="4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Mitigation</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R1</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Faux positif “detecte”</w:t>
            </w:r>
          </w:p>
        </w:tc>
        <w:tc>
          <w:tcPr>
            <w:tcW w:type="dxa" w:w="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Elevee</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Critique</w:t>
            </w:r>
          </w:p>
        </w:tc>
        <w:tc>
          <w:tcPr>
            <w:tcW w:type="dxa" w:w="4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Ambre (pas vert), confiance &gt;= 0.75, disclaimer, CTA conseiller</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R2</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Requalification IDD</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Faible</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Bloquant</w:t>
            </w:r>
          </w:p>
        </w:tc>
        <w:tc>
          <w:tcPr>
            <w:tcW w:type="dxa" w:w="4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Qualification prealable, formulations interdites, CTA identique</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R3</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Sous-assurance non detectee</w:t>
            </w:r>
          </w:p>
        </w:tc>
        <w:tc>
          <w:tcPr>
            <w:tcW w:type="dxa" w:w="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Elevee</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Majeur</w:t>
            </w:r>
          </w:p>
        </w:tc>
        <w:tc>
          <w:tcPr>
            <w:tcW w:type="dxa" w:w="4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Message pedagogique, alertes seuils, renvoi conseiller</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R4</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Interpretation abusive client</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Moyenne</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Majeur</w:t>
            </w:r>
          </w:p>
        </w:tc>
        <w:tc>
          <w:tcPr>
            <w:tcW w:type="dxa" w:w="4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Disclaimer permanent, “sous reserve” systematique</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R5</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Heterogeneite contrats LU</w:t>
            </w:r>
          </w:p>
        </w:tc>
        <w:tc>
          <w:tcPr>
            <w:tcW w:type="dxa" w:w="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Elevee</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Significatif</w:t>
            </w:r>
          </w:p>
        </w:tc>
        <w:tc>
          <w:tcPr>
            <w:tcW w:type="dxa" w:w="4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Prompt MRH + monitoring par assureur + fallback non evaluable</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R6</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Fuite donnees concurrentielles</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Faible</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Majeur</w:t>
            </w:r>
          </w:p>
        </w:tc>
        <w:tc>
          <w:tcPr>
            <w:tcW w:type="dxa" w:w="4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Zero retention source, pas de stockage texte brut</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R7</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Hallucination LLM</w:t>
            </w:r>
          </w:p>
        </w:tc>
        <w:tc>
          <w:tcPr>
            <w:tcW w:type="dxa" w:w="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Moyenne</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Significatif</w:t>
            </w:r>
          </w:p>
        </w:tc>
        <w:tc>
          <w:tcPr>
            <w:tcW w:type="dxa" w:w="4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Zod strict, enum ferme, confiance &lt; 0.75 → non evaluable</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R8</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Derive du prompt</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Elevee</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Significatif</w:t>
            </w:r>
          </w:p>
        </w:tc>
        <w:tc>
          <w:tcPr>
            <w:tcW w:type="dxa" w:w="4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Monitoring mensuel, revue prompt trimestrielle</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R9</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Indisponibilite Mistral</w:t>
            </w:r>
          </w:p>
        </w:tc>
        <w:tc>
          <w:tcPr>
            <w:tcW w:type="dxa" w:w="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Faible</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Significatif</w:t>
            </w:r>
          </w:p>
        </w:tc>
        <w:tc>
          <w:tcPr>
            <w:tcW w:type="dxa" w:w="4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Fallback saisie manuelle, retry backoff</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R10</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Reputation</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Faible</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Critique</w:t>
            </w:r>
          </w:p>
        </w:tc>
        <w:tc>
          <w:tcPr>
            <w:tcW w:type="dxa" w:w="4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Beta fermee obligatoire (4 sem., 20 clients)</w:t>
            </w:r>
          </w:p>
        </w:tc>
      </w:tr>
    </w:tbl>
    <w:p>
      <w:pPr>
        <w:pStyle w:val="Heading1"/>
        <w:pageBreakBefore/>
        <w:spacing w:after="200" w:before="240"/>
      </w:pPr>
      <w:r>
        <w:rPr>
          <w:rFonts w:ascii="Calibri" w:cs="Calibri" w:eastAsia="Calibri" w:hAnsi="Calibri"/>
          <w:b/>
          <w:bCs/>
          <w:color w:val="000d6e"/>
          <w:sz w:val="32"/>
          <w:szCs w:val="32"/>
        </w:rPr>
        <w:t xml:space="preserve">11. KPIs et criteres de succes</w:t>
      </w:r>
    </w:p>
    <w:p>
      <w:pPr>
        <w:pStyle w:val="Heading2"/>
        <w:spacing w:after="160" w:before="200"/>
      </w:pPr>
      <w:r>
        <w:rPr>
          <w:rFonts w:ascii="Calibri" w:cs="Calibri" w:eastAsia="Calibri" w:hAnsi="Calibri"/>
          <w:b/>
          <w:bCs/>
          <w:color w:val="000d6e"/>
          <w:sz w:val="26"/>
          <w:szCs w:val="26"/>
        </w:rPr>
        <w:t xml:space="preserve">11.1 Appetence (Phase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tblHeader/>
        </w:trPr>
        <w:tc>
          <w:tcPr>
            <w:tcW w:type="dxa" w:w="4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KPI</w:t>
            </w:r>
          </w:p>
        </w:tc>
        <w:tc>
          <w:tcPr>
            <w:tcW w:type="dxa" w:w="2513"/>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GO</w:t>
            </w:r>
          </w:p>
        </w:tc>
        <w:tc>
          <w:tcPr>
            <w:tcW w:type="dxa" w:w="2513"/>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NO-GO</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Taux de clic CTA</w:t>
            </w:r>
          </w:p>
        </w:tc>
        <w:tc>
          <w:tcPr>
            <w:tcW w:type="dxa" w:w="2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10%</w:t>
            </w:r>
          </w:p>
        </w:tc>
        <w:tc>
          <w:tcPr>
            <w:tcW w:type="dxa" w:w="2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&lt; 5%</w:t>
            </w:r>
          </w:p>
        </w:tc>
      </w:tr>
      <w:tr>
        <w:tc>
          <w:tcPr>
            <w:tcW w:type="dxa" w:w="4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Completion upload</w:t>
            </w:r>
          </w:p>
        </w:tc>
        <w:tc>
          <w:tcPr>
            <w:tcW w:type="dxa" w:w="25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&gt; 40%</w:t>
            </w:r>
          </w:p>
        </w:tc>
        <w:tc>
          <w:tcPr>
            <w:tcW w:type="dxa" w:w="25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&lt; 20%</w:t>
            </w:r>
          </w:p>
        </w:tc>
      </w:tr>
    </w:tbl>
    <w:p>
      <w:pPr>
        <w:pStyle w:val="Heading2"/>
        <w:spacing w:after="160" w:before="200"/>
      </w:pPr>
      <w:r>
        <w:rPr>
          <w:rFonts w:ascii="Calibri" w:cs="Calibri" w:eastAsia="Calibri" w:hAnsi="Calibri"/>
          <w:b/>
          <w:bCs/>
          <w:color w:val="000d6e"/>
          <w:sz w:val="26"/>
          <w:szCs w:val="26"/>
        </w:rPr>
        <w:t xml:space="preserve">11.2 Qualite — 3 niveaux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500"/>
        <w:gridCol w:w="1926"/>
      </w:tblGrid>
      <w:tr>
        <w:trPr>
          <w:tblHeader/>
        </w:trPr>
        <w:tc>
          <w:tcPr>
            <w:tcW w:type="dxa" w:w="28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KPI</w:t>
            </w:r>
          </w:p>
        </w:tc>
        <w:tc>
          <w:tcPr>
            <w:tcW w:type="dxa" w:w="18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Build interne</w:t>
            </w:r>
          </w:p>
        </w:tc>
        <w:tc>
          <w:tcPr>
            <w:tcW w:type="dxa" w:w="2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Beta fermee</w:t>
            </w:r>
          </w:p>
        </w:tc>
        <w:tc>
          <w:tcPr>
            <w:tcW w:type="dxa" w:w="19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Ouverture elargie</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Precision champs A</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75%</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85%</w:t>
            </w:r>
          </w:p>
        </w:tc>
        <w:tc>
          <w:tcPr>
            <w:tcW w:type="dxa" w:w="19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90%</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Precision champs B</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&gt;= 60%</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&gt;= 70%</w:t>
            </w:r>
          </w:p>
        </w:tc>
        <w:tc>
          <w:tcPr>
            <w:tcW w:type="dxa" w:w="19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&gt;= 80%</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Faux positifs “detecte”</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&lt; 20%</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&lt; 10%</w:t>
            </w:r>
          </w:p>
        </w:tc>
        <w:tc>
          <w:tcPr>
            <w:tcW w:type="dxa" w:w="19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&lt; 5%</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Non evaluable / garantie 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&lt; 40%</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&lt; 25%</w:t>
            </w:r>
          </w:p>
        </w:tc>
        <w:tc>
          <w:tcPr>
            <w:tcW w:type="dxa" w:w="19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&lt; 15%</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Coherence avis conseiller</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N/A</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75%</w:t>
            </w:r>
          </w:p>
        </w:tc>
        <w:tc>
          <w:tcPr>
            <w:tcW w:type="dxa" w:w="19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85%</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Reclamation client</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N/A</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&lt; 5%</w:t>
            </w:r>
          </w:p>
        </w:tc>
        <w:tc>
          <w:tcPr>
            <w:tcW w:type="dxa" w:w="19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&lt; 2%</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Correction utilisateur</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N/A</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&lt; 30%</w:t>
            </w:r>
          </w:p>
        </w:tc>
        <w:tc>
          <w:tcPr>
            <w:tcW w:type="dxa" w:w="19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&lt; 15%</w:t>
            </w:r>
          </w:p>
        </w:tc>
      </w:tr>
    </w:tbl>
    <w:p>
      <w:pPr>
        <w:spacing w:after="60"/>
      </w:pPr>
    </w:p>
    <w:p>
      <w:pPr>
        <w:spacing w:after="120" w:before="0"/>
      </w:pPr>
      <w:r>
        <w:rPr>
          <w:rFonts w:ascii="Calibri" w:cs="Calibri" w:eastAsia="Calibri" w:hAnsi="Calibri"/>
          <w:b/>
          <w:bCs/>
          <w:sz w:val="22"/>
          <w:szCs w:val="22"/>
        </w:rPr>
        <w:t xml:space="preserve">Build → Beta : </w:t>
      </w:r>
      <w:r>
        <w:rPr>
          <w:rFonts w:ascii="Calibri" w:cs="Calibri" w:eastAsia="Calibri" w:hAnsi="Calibri"/>
          <w:sz w:val="22"/>
          <w:szCs w:val="22"/>
        </w:rPr>
        <w:t xml:space="preserve">seuils Build + IDD + DPIA</w:t>
      </w:r>
    </w:p>
    <w:p>
      <w:pPr>
        <w:spacing w:after="120" w:before="0"/>
      </w:pPr>
      <w:r>
        <w:rPr>
          <w:rFonts w:ascii="Calibri" w:cs="Calibri" w:eastAsia="Calibri" w:hAnsi="Calibri"/>
          <w:b/>
          <w:bCs/>
          <w:sz w:val="22"/>
          <w:szCs w:val="22"/>
        </w:rPr>
        <w:t xml:space="preserve">Beta → Ouverture : </w:t>
      </w:r>
      <w:r>
        <w:rPr>
          <w:rFonts w:ascii="Calibri" w:cs="Calibri" w:eastAsia="Calibri" w:hAnsi="Calibri"/>
          <w:sz w:val="22"/>
          <w:szCs w:val="22"/>
        </w:rPr>
        <w:t xml:space="preserve">seuils Beta pendant 4 semaines + zero incident critique</w:t>
      </w:r>
    </w:p>
    <w:p>
      <w:pPr>
        <w:spacing w:after="120" w:before="0"/>
      </w:pPr>
      <w:r>
        <w:rPr>
          <w:rFonts w:ascii="Calibri" w:cs="Calibri" w:eastAsia="Calibri" w:hAnsi="Calibri"/>
          <w:b/>
          <w:bCs/>
          <w:sz w:val="22"/>
          <w:szCs w:val="22"/>
        </w:rPr>
        <w:t xml:space="preserve">Si seuils Beta non atteints apres 6 semaines : </w:t>
      </w:r>
      <w:r>
        <w:rPr>
          <w:rFonts w:ascii="Calibri" w:cs="Calibri" w:eastAsia="Calibri" w:hAnsi="Calibri"/>
          <w:sz w:val="22"/>
          <w:szCs w:val="22"/>
        </w:rPr>
        <w:t xml:space="preserve">STOP, recalibration, nouveau cycle beta</w:t>
      </w:r>
    </w:p>
    <w:p>
      <w:pPr>
        <w:pStyle w:val="Heading2"/>
        <w:spacing w:after="160" w:before="200"/>
      </w:pPr>
      <w:r>
        <w:rPr>
          <w:rFonts w:ascii="Calibri" w:cs="Calibri" w:eastAsia="Calibri" w:hAnsi="Calibri"/>
          <w:b/>
          <w:bCs/>
          <w:color w:val="000d6e"/>
          <w:sz w:val="26"/>
          <w:szCs w:val="26"/>
        </w:rPr>
        <w:t xml:space="preserve">11.3 Transformation commerciale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13"/>
        <w:gridCol w:w="3513"/>
      </w:tblGrid>
      <w:tr>
        <w:trPr>
          <w:tblHeader/>
        </w:trPr>
        <w:tc>
          <w:tcPr>
            <w:tcW w:type="dxa" w:w="5513"/>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KPI</w:t>
            </w:r>
          </w:p>
        </w:tc>
        <w:tc>
          <w:tcPr>
            <w:tcW w:type="dxa" w:w="3513"/>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Cible</w:t>
            </w:r>
          </w:p>
        </w:tc>
      </w:tr>
      <w:tr>
        <w:tc>
          <w:tcPr>
            <w:tcW w:type="dxa" w:w="5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Adequation → RDV conseiller</w:t>
            </w:r>
          </w:p>
        </w:tc>
        <w:tc>
          <w:tcPr>
            <w:tcW w:type="dxa" w:w="3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&gt; 25%</w:t>
            </w:r>
          </w:p>
        </w:tc>
      </w:tr>
      <w:tr>
        <w:tc>
          <w:tcPr>
            <w:tcW w:type="dxa" w:w="55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RDV → offre</w:t>
            </w:r>
          </w:p>
        </w:tc>
        <w:tc>
          <w:tcPr>
            <w:tcW w:type="dxa" w:w="35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&gt; 40%</w:t>
            </w:r>
          </w:p>
        </w:tc>
      </w:tr>
    </w:tbl>
    <w:p>
      <w:pPr>
        <w:pStyle w:val="Heading1"/>
        <w:pageBreakBefore/>
        <w:spacing w:after="200" w:before="240"/>
      </w:pPr>
      <w:r>
        <w:rPr>
          <w:rFonts w:ascii="Calibri" w:cs="Calibri" w:eastAsia="Calibri" w:hAnsi="Calibri"/>
          <w:b/>
          <w:bCs/>
          <w:color w:val="000d6e"/>
          <w:sz w:val="32"/>
          <w:szCs w:val="32"/>
        </w:rPr>
        <w:t xml:space="preserve">12. Estimation de charge</w:t>
      </w:r>
    </w:p>
    <w:p>
      <w:pPr>
        <w:pStyle w:val="Heading2"/>
        <w:spacing w:after="160" w:before="200"/>
      </w:pPr>
      <w:r>
        <w:rPr>
          <w:rFonts w:ascii="Calibri" w:cs="Calibri" w:eastAsia="Calibri" w:hAnsi="Calibri"/>
          <w:b/>
          <w:bCs/>
          <w:color w:val="000d6e"/>
          <w:sz w:val="26"/>
          <w:szCs w:val="26"/>
        </w:rPr>
        <w:t xml:space="preserve">Phase 0 + Phase 1 : 37 jours = 8-9 semaines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Poste</w:t>
            </w:r>
          </w:p>
        </w:tc>
        <w:tc>
          <w:tcPr>
            <w:tcW w:type="dxa" w:w="3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Estimation</w:t>
            </w:r>
          </w:p>
        </w:tc>
      </w:tr>
      <w:tr>
        <w:tc>
          <w:tcPr>
            <w:tcW w:type="dxa" w:w="5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CTA factice</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2 jours</w:t>
            </w:r>
          </w:p>
        </w:tc>
      </w:tr>
      <w:tr>
        <w:tc>
          <w:tcPr>
            <w:tcW w:type="dxa" w:w="5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Migration Supabase</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2 jours</w:t>
            </w:r>
          </w:p>
        </w:tc>
      </w:tr>
      <w:tr>
        <w:tc>
          <w:tcPr>
            <w:tcW w:type="dxa" w:w="5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Background Function (pdf-parse + Mistral)</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5 jours</w:t>
            </w:r>
          </w:p>
        </w:tc>
      </w:tr>
      <w:tr>
        <w:tc>
          <w:tcPr>
            <w:tcW w:type="dxa" w:w="5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Prompt engineering + calibration</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5 jours</w:t>
            </w:r>
          </w:p>
        </w:tc>
      </w:tr>
      <w:tr>
        <w:tc>
          <w:tcPr>
            <w:tcW w:type="dxa" w:w="5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Moteur adequation TS + tests</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4 jours</w:t>
            </w:r>
          </w:p>
        </w:tc>
      </w:tr>
      <w:tr>
        <w:tc>
          <w:tcPr>
            <w:tcW w:type="dxa" w:w="5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Schema Zod + validation</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2 jours</w:t>
            </w:r>
          </w:p>
        </w:tc>
      </w:tr>
      <w:tr>
        <w:tc>
          <w:tcPr>
            <w:tcW w:type="dxa" w:w="5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UI upload + confirmation + resultats</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5 jours</w:t>
            </w:r>
          </w:p>
        </w:tc>
      </w:tr>
      <w:tr>
        <w:tc>
          <w:tcPr>
            <w:tcW w:type="dxa" w:w="5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PDF export</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2 jours</w:t>
            </w:r>
          </w:p>
        </w:tc>
      </w:tr>
      <w:tr>
        <w:tc>
          <w:tcPr>
            <w:tcW w:type="dxa" w:w="5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RGPD (delete/export)</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1 jour</w:t>
            </w:r>
          </w:p>
        </w:tc>
      </w:tr>
      <w:tr>
        <w:tc>
          <w:tcPr>
            <w:tcW w:type="dxa" w:w="5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Audit trail</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1 jour</w:t>
            </w:r>
          </w:p>
        </w:tc>
      </w:tr>
      <w:tr>
        <w:tc>
          <w:tcPr>
            <w:tcW w:type="dxa" w:w="5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Tests + corpus 50 contrats + annotation</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8 jours</w:t>
            </w:r>
          </w:p>
        </w:tc>
      </w:tr>
      <w:tr>
        <w:tc>
          <w:tcPr>
            <w:tcW w:type="dxa" w:w="5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TOTAL</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37 jours</w:t>
            </w:r>
          </w:p>
        </w:tc>
      </w:tr>
    </w:tbl>
    <w:p>
      <w:pPr>
        <w:pStyle w:val="Heading2"/>
        <w:spacing w:after="160" w:before="200"/>
      </w:pPr>
      <w:r>
        <w:rPr>
          <w:rFonts w:ascii="Calibri" w:cs="Calibri" w:eastAsia="Calibri" w:hAnsi="Calibri"/>
          <w:b/>
          <w:bCs/>
          <w:color w:val="000d6e"/>
          <w:sz w:val="26"/>
          <w:szCs w:val="26"/>
        </w:rPr>
        <w:t xml:space="preserve">Corpus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Niveau</w:t>
            </w:r>
          </w:p>
        </w:tc>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Taille</w:t>
            </w:r>
          </w:p>
        </w:tc>
        <w:tc>
          <w:tcPr>
            <w:tcW w:type="dxa" w:w="5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Usage</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Calibration</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15-20 contrats</w:t>
            </w:r>
          </w:p>
        </w:tc>
        <w:tc>
          <w:tcPr>
            <w:tcW w:type="dxa" w:w="5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Dev, iterations prompt, tests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Pilote</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30-40 contrats</w:t>
            </w:r>
          </w:p>
        </w:tc>
        <w:tc>
          <w:tcPr>
            <w:tcW w:type="dxa" w:w="5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Beta fermee, mesure des seuils</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Go-live</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50+ contrats</w:t>
            </w:r>
          </w:p>
        </w:tc>
        <w:tc>
          <w:tcPr>
            <w:tcW w:type="dxa" w:w="5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Decision finale</w:t>
            </w:r>
          </w:p>
        </w:tc>
      </w:tr>
    </w:tbl>
    <w:p>
      <w:pPr>
        <w:spacing w:after="60"/>
      </w:pPr>
    </w:p>
    <w:p>
      <w:pPr>
        <w:spacing w:after="120" w:before="0"/>
      </w:pPr>
      <w:r>
        <w:rPr>
          <w:rFonts w:ascii="Calibri" w:cs="Calibri" w:eastAsia="Calibri" w:hAnsi="Calibri"/>
          <w:b/>
          <w:bCs/>
          <w:sz w:val="22"/>
          <w:szCs w:val="22"/>
        </w:rPr>
        <w:t xml:space="preserve">En dessous de 30 contrats (4+ assureurs), on ne peut pas conclure. En dessous de 50, pas d’ouverture elargie.</w:t>
      </w:r>
    </w:p>
    <w:p>
      <w:pPr>
        <w:pStyle w:val="Heading2"/>
        <w:spacing w:after="160" w:before="200"/>
      </w:pPr>
      <w:r>
        <w:rPr>
          <w:rFonts w:ascii="Calibri" w:cs="Calibri" w:eastAsia="Calibri" w:hAnsi="Calibri"/>
          <w:b/>
          <w:bCs/>
          <w:color w:val="000d6e"/>
          <w:sz w:val="26"/>
          <w:szCs w:val="26"/>
        </w:rPr>
        <w:t xml:space="preserve">Prerequis bloquants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026"/>
      </w:tblGrid>
      <w:tr>
        <w:trPr>
          <w:tblHeader/>
        </w:trPr>
        <w:tc>
          <w:tcPr>
            <w:tcW w:type="dxa" w:w="2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Prerequis</w:t>
            </w:r>
          </w:p>
        </w:tc>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Responsable</w:t>
            </w:r>
          </w:p>
        </w:tc>
        <w:tc>
          <w:tcPr>
            <w:tcW w:type="dxa" w:w="1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Delai</w:t>
            </w:r>
          </w:p>
        </w:tc>
        <w:tc>
          <w:tcPr>
            <w:tcW w:type="dxa" w:w="3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Bloque</w:t>
            </w:r>
          </w:p>
        </w:tc>
      </w:tr>
      <w:tr>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Qualification IDD</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Juridique Baloise</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2-4 sem.</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Ecran restitution</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DPIA allegee</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DPO Baloise</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1-2 sem.</w:t>
            </w:r>
          </w:p>
        </w:tc>
        <w:tc>
          <w:tcPr>
            <w:tcW w:type="dxa" w:w="3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Production</w:t>
            </w:r>
          </w:p>
        </w:tc>
      </w:tr>
      <w:tr>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Corpus 50 contrats</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PM + UX</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3-6 sem.</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Prompt + tests</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Validation disclaimers</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Juridique</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1-2 sem.</w:t>
            </w:r>
          </w:p>
        </w:tc>
        <w:tc>
          <w:tcPr>
            <w:tcW w:type="dxa" w:w="3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Production</w:t>
            </w:r>
          </w:p>
        </w:tc>
      </w:tr>
    </w:tbl>
    <w:p>
      <w:pPr>
        <w:pStyle w:val="Heading1"/>
        <w:pageBreakBefore/>
        <w:spacing w:after="200" w:before="240"/>
      </w:pPr>
      <w:r>
        <w:rPr>
          <w:rFonts w:ascii="Calibri" w:cs="Calibri" w:eastAsia="Calibri" w:hAnsi="Calibri"/>
          <w:b/>
          <w:bCs/>
          <w:color w:val="000d6e"/>
          <w:sz w:val="32"/>
          <w:szCs w:val="32"/>
        </w:rPr>
        <w:t xml:space="preserve">13. Recommandation finale collegiale</w:t>
      </w:r>
    </w:p>
    <w:p>
      <w:pPr>
        <w:pBdr>
          <w:top w:val="single" w:color="168741" w:sz="3"/>
          <w:bottom w:val="single" w:color="168741" w:sz="3"/>
          <w:left w:val="single" w:color="168741" w:sz="3"/>
          <w:right w:val="single" w:color="168741" w:sz="3"/>
        </w:pBdr>
        <w:shd w:fill="E8F5E9" w:val="clear"/>
        <w:spacing w:after="120" w:before="120"/>
        <w:jc w:val="center"/>
      </w:pPr>
      <w:r>
        <w:rPr>
          <w:rFonts w:ascii="Calibri" w:cs="Calibri" w:eastAsia="Calibri" w:hAnsi="Calibri"/>
          <w:b/>
          <w:bCs/>
          <w:color w:val="168741"/>
          <w:sz w:val="28"/>
          <w:szCs w:val="28"/>
        </w:rPr>
        <w:t xml:space="preserve">GO CONDITIONNEL — PERIMETRE MRH UNIQUEMENT</w:t>
      </w:r>
    </w:p>
    <w:p>
      <w:pPr>
        <w:pStyle w:val="Heading2"/>
        <w:spacing w:after="160" w:before="200"/>
      </w:pPr>
      <w:r>
        <w:rPr>
          <w:rFonts w:ascii="Calibri" w:cs="Calibri" w:eastAsia="Calibri" w:hAnsi="Calibri"/>
          <w:b/>
          <w:bCs/>
          <w:color w:val="000d6e"/>
          <w:sz w:val="26"/>
          <w:szCs w:val="26"/>
        </w:rPr>
        <w:t xml:space="preserve">Lancer MAINTENANT</w:t>
      </w:r>
    </w:p>
    <w:p>
      <w:pPr>
        <w:pStyle w:val="ListParagraph"/>
        <w:numPr>
          <w:ilvl w:val="0"/>
          <w:numId w:val="3"/>
        </w:numPr>
        <w:spacing w:after="60"/>
      </w:pPr>
      <w:r>
        <w:rPr>
          <w:rFonts w:ascii="Calibri" w:cs="Calibri" w:eastAsia="Calibri" w:hAnsi="Calibri"/>
          <w:b/>
          <w:bCs/>
          <w:sz w:val="22"/>
          <w:szCs w:val="22"/>
        </w:rPr>
        <w:t xml:space="preserve">CTA factice </w:t>
      </w:r>
      <w:r>
        <w:rPr>
          <w:rFonts w:ascii="Calibri" w:cs="Calibri" w:eastAsia="Calibri" w:hAnsi="Calibri"/>
          <w:sz w:val="22"/>
          <w:szCs w:val="22"/>
        </w:rPr>
        <w:t xml:space="preserve">sur ResultsPage (2 jours) — mesure appetence 4 semaines</w:t>
      </w:r>
    </w:p>
    <w:p>
      <w:pPr>
        <w:pStyle w:val="ListParagraph"/>
        <w:numPr>
          <w:ilvl w:val="0"/>
          <w:numId w:val="3"/>
        </w:numPr>
        <w:spacing w:after="60"/>
      </w:pPr>
      <w:r>
        <w:rPr>
          <w:rFonts w:ascii="Calibri" w:cs="Calibri" w:eastAsia="Calibri" w:hAnsi="Calibri"/>
          <w:b/>
          <w:bCs/>
          <w:sz w:val="22"/>
          <w:szCs w:val="22"/>
        </w:rPr>
        <w:t xml:space="preserve">Qualification IDD </w:t>
      </w:r>
      <w:r>
        <w:rPr>
          <w:rFonts w:ascii="Calibri" w:cs="Calibri" w:eastAsia="Calibri" w:hAnsi="Calibri"/>
          <w:sz w:val="22"/>
          <w:szCs w:val="22"/>
        </w:rPr>
        <w:t xml:space="preserve">avec le juridique Baloise (en parallele)</w:t>
      </w:r>
    </w:p>
    <w:p>
      <w:pPr>
        <w:pStyle w:val="ListParagraph"/>
        <w:numPr>
          <w:ilvl w:val="0"/>
          <w:numId w:val="3"/>
        </w:numPr>
        <w:spacing w:after="60"/>
      </w:pPr>
      <w:r>
        <w:rPr>
          <w:rFonts w:ascii="Calibri" w:cs="Calibri" w:eastAsia="Calibri" w:hAnsi="Calibri"/>
          <w:b/>
          <w:bCs/>
          <w:sz w:val="22"/>
          <w:szCs w:val="22"/>
        </w:rPr>
        <w:t xml:space="preserve">DPIA allegee </w:t>
      </w:r>
      <w:r>
        <w:rPr>
          <w:rFonts w:ascii="Calibri" w:cs="Calibri" w:eastAsia="Calibri" w:hAnsi="Calibri"/>
          <w:sz w:val="22"/>
          <w:szCs w:val="22"/>
        </w:rPr>
        <w:t xml:space="preserve">MRH (en parallele)</w:t>
      </w:r>
    </w:p>
    <w:p>
      <w:pPr>
        <w:pStyle w:val="ListParagraph"/>
        <w:numPr>
          <w:ilvl w:val="0"/>
          <w:numId w:val="3"/>
        </w:numPr>
        <w:spacing w:after="60"/>
      </w:pPr>
      <w:r>
        <w:rPr>
          <w:rFonts w:ascii="Calibri" w:cs="Calibri" w:eastAsia="Calibri" w:hAnsi="Calibri"/>
          <w:b/>
          <w:bCs/>
          <w:sz w:val="22"/>
          <w:szCs w:val="22"/>
        </w:rPr>
        <w:t xml:space="preserve">Constitution corpus </w:t>
      </w:r>
      <w:r>
        <w:rPr>
          <w:rFonts w:ascii="Calibri" w:cs="Calibri" w:eastAsia="Calibri" w:hAnsi="Calibri"/>
          <w:sz w:val="22"/>
          <w:szCs w:val="22"/>
        </w:rPr>
        <w:t xml:space="preserve">50 contrats MRH reels multi-assureurs</w:t>
      </w:r>
    </w:p>
    <w:p>
      <w:pPr>
        <w:pStyle w:val="ListParagraph"/>
        <w:numPr>
          <w:ilvl w:val="0"/>
          <w:numId w:val="3"/>
        </w:numPr>
        <w:spacing w:after="60"/>
      </w:pPr>
      <w:r>
        <w:rPr>
          <w:rFonts w:ascii="Calibri" w:cs="Calibri" w:eastAsia="Calibri" w:hAnsi="Calibri"/>
          <w:b/>
          <w:bCs/>
          <w:sz w:val="22"/>
          <w:szCs w:val="22"/>
        </w:rPr>
        <w:t xml:space="preserve">Dev backend + upload : </w:t>
      </w:r>
      <w:r>
        <w:rPr>
          <w:rFonts w:ascii="Calibri" w:cs="Calibri" w:eastAsia="Calibri" w:hAnsi="Calibri"/>
          <w:sz w:val="22"/>
          <w:szCs w:val="22"/>
        </w:rPr>
        <w:t xml:space="preserve">migration Supabase + Background Function + moteur + ecran upload</w:t>
      </w:r>
    </w:p>
    <w:p>
      <w:pPr>
        <w:pStyle w:val="Heading2"/>
        <w:spacing w:after="160" w:before="200"/>
      </w:pPr>
      <w:r>
        <w:rPr>
          <w:rFonts w:ascii="Calibri" w:cs="Calibri" w:eastAsia="Calibri" w:hAnsi="Calibri"/>
          <w:b/>
          <w:bCs/>
          <w:color w:val="000d6e"/>
          <w:sz w:val="26"/>
          <w:szCs w:val="26"/>
        </w:rPr>
        <w:t xml:space="preserve">REPOUSSER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Element</w:t>
            </w:r>
          </w:p>
        </w:tc>
        <w:tc>
          <w:tcPr>
            <w:tcW w:type="dxa" w:w="2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Reporte a</w:t>
            </w:r>
          </w:p>
        </w:tc>
        <w:tc>
          <w:tcPr>
            <w:tcW w:type="dxa" w:w="3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Raison</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Scans / photos (vision)</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Phase 2</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Effort +30%, risque OCR</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Extension auto / prevoyance</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Phase 3 (S2 2027)</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Art. 9 RGPD + AI Act</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Score en pourcentage</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JAMAIS</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Fausse precision</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Comparaison de prix</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JAMAIS</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Calibri" w:cs="Calibri" w:eastAsia="Calibri" w:hAnsi="Calibri"/>
                <w:sz w:val="20"/>
                <w:szCs w:val="20"/>
              </w:rPr>
              <w:t xml:space="preserve">Hors IDD</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Stockage long terme documents</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JAMAIS</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Calibri" w:cs="Calibri" w:eastAsia="Calibri" w:hAnsi="Calibri"/>
                <w:sz w:val="20"/>
                <w:szCs w:val="20"/>
              </w:rPr>
              <w:t xml:space="preserve">RGPD + secret des affaires</w:t>
            </w:r>
          </w:p>
        </w:tc>
      </w:tr>
    </w:tbl>
    <w:p>
      <w:pPr>
        <w:pStyle w:val="Heading2"/>
        <w:spacing w:after="160" w:before="200"/>
      </w:pPr>
      <w:r>
        <w:rPr>
          <w:rFonts w:ascii="Calibri" w:cs="Calibri" w:eastAsia="Calibri" w:hAnsi="Calibri"/>
          <w:b/>
          <w:bCs/>
          <w:color w:val="000d6e"/>
          <w:sz w:val="26"/>
          <w:szCs w:val="26"/>
        </w:rPr>
        <w:t xml:space="preserve">INTERDIRE</w:t>
      </w:r>
    </w:p>
    <w:p>
      <w:pPr>
        <w:pStyle w:val="ListParagraph"/>
        <w:numPr>
          <w:ilvl w:val="0"/>
          <w:numId w:val="4"/>
        </w:numPr>
        <w:spacing w:after="60"/>
      </w:pPr>
      <w:r>
        <w:rPr>
          <w:rFonts w:ascii="Calibri" w:cs="Calibri" w:eastAsia="Calibri" w:hAnsi="Calibri"/>
          <w:sz w:val="22"/>
          <w:szCs w:val="22"/>
        </w:rPr>
        <w:t xml:space="preserve">Toute formulation suggestive ou directive</w:t>
      </w:r>
    </w:p>
    <w:p>
      <w:pPr>
        <w:pStyle w:val="ListParagraph"/>
        <w:numPr>
          <w:ilvl w:val="0"/>
          <w:numId w:val="4"/>
        </w:numPr>
        <w:spacing w:after="60"/>
      </w:pPr>
      <w:r>
        <w:rPr>
          <w:rFonts w:ascii="Calibri" w:cs="Calibri" w:eastAsia="Calibri" w:hAnsi="Calibri"/>
          <w:sz w:val="22"/>
          <w:szCs w:val="22"/>
        </w:rPr>
        <w:t xml:space="preserve">Tout statut “detecte” en vert (uniquement ambre)</w:t>
      </w:r>
    </w:p>
    <w:p>
      <w:pPr>
        <w:pStyle w:val="ListParagraph"/>
        <w:numPr>
          <w:ilvl w:val="0"/>
          <w:numId w:val="4"/>
        </w:numPr>
        <w:spacing w:after="60"/>
      </w:pPr>
      <w:r>
        <w:rPr>
          <w:rFonts w:ascii="Calibri" w:cs="Calibri" w:eastAsia="Calibri" w:hAnsi="Calibri"/>
          <w:sz w:val="22"/>
          <w:szCs w:val="22"/>
        </w:rPr>
        <w:t xml:space="preserve">Tout CTA contextuel lie a un statut particulier</w:t>
      </w:r>
    </w:p>
    <w:p>
      <w:pPr>
        <w:pStyle w:val="ListParagraph"/>
        <w:numPr>
          <w:ilvl w:val="0"/>
          <w:numId w:val="4"/>
        </w:numPr>
        <w:spacing w:after="60"/>
      </w:pPr>
      <w:r>
        <w:rPr>
          <w:rFonts w:ascii="Calibri" w:cs="Calibri" w:eastAsia="Calibri" w:hAnsi="Calibri"/>
          <w:sz w:val="22"/>
          <w:szCs w:val="22"/>
        </w:rPr>
        <w:t xml:space="preserve">Tout stockage du document source ou du texte brut</w:t>
      </w:r>
    </w:p>
    <w:p>
      <w:pPr>
        <w:pStyle w:val="ListParagraph"/>
        <w:numPr>
          <w:ilvl w:val="0"/>
          <w:numId w:val="4"/>
        </w:numPr>
        <w:spacing w:after="60"/>
      </w:pPr>
      <w:r>
        <w:rPr>
          <w:rFonts w:ascii="Calibri" w:cs="Calibri" w:eastAsia="Calibri" w:hAnsi="Calibri"/>
          <w:sz w:val="22"/>
          <w:szCs w:val="22"/>
        </w:rPr>
        <w:t xml:space="preserve">Toute extraction des Conditions Generales</w:t>
      </w:r>
    </w:p>
    <w:p>
      <w:pPr>
        <w:pStyle w:val="ListParagraph"/>
        <w:numPr>
          <w:ilvl w:val="0"/>
          <w:numId w:val="4"/>
        </w:numPr>
        <w:spacing w:after="60"/>
      </w:pPr>
      <w:r>
        <w:rPr>
          <w:rFonts w:ascii="Calibri" w:cs="Calibri" w:eastAsia="Calibri" w:hAnsi="Calibri"/>
          <w:sz w:val="22"/>
          <w:szCs w:val="22"/>
        </w:rPr>
        <w:t xml:space="preserve">Tout verdict automatique de sous-assurance</w:t>
      </w:r>
    </w:p>
    <w:p>
      <w:pPr>
        <w:pStyle w:val="Heading2"/>
        <w:spacing w:after="160" w:before="200"/>
      </w:pPr>
      <w:r>
        <w:rPr>
          <w:rFonts w:ascii="Calibri" w:cs="Calibri" w:eastAsia="Calibri" w:hAnsi="Calibri"/>
          <w:b/>
          <w:bCs/>
          <w:color w:val="000d6e"/>
          <w:sz w:val="26"/>
          <w:szCs w:val="26"/>
        </w:rPr>
        <w:t xml:space="preserve">Decision CPO</w:t>
      </w:r>
    </w:p>
    <w:p>
      <w:pPr>
        <w:pBdr>
          <w:top w:val="single" w:color="000d6e" w:sz="2"/>
          <w:bottom w:val="single" w:color="000d6e" w:sz="2"/>
          <w:left w:val="single" w:color="000d6e" w:sz="2"/>
          <w:right w:val="single" w:color="000d6e" w:sz="2"/>
        </w:pBdr>
        <w:shd w:fill="E8EAF6" w:val="clear"/>
        <w:spacing w:after="120" w:before="120"/>
      </w:pPr>
      <w:r>
        <w:rPr>
          <w:rFonts w:ascii="Calibri" w:cs="Calibri" w:eastAsia="Calibri" w:hAnsi="Calibri"/>
          <w:b/>
          <w:bCs/>
          <w:color w:val="000d6e"/>
          <w:sz w:val="22"/>
          <w:szCs w:val="22"/>
        </w:rPr>
        <w:t xml:space="preserve">Lancer Phase 0 (CTA factice) + dev backend + ecran d’upload immediatement. Bloquer l’ecran de restitution et les wordings jusqu’a validation IDD. Constituer le corpus de 50 contrats en parallele. Go beta fermee uniquement si precision champs A &gt;= 85%, faux positifs &lt; 10%, coherence conseiller &gt;= 75%.</w:t>
      </w:r>
    </w:p>
    <w:p>
      <w:pPr>
        <w:spacing w:after="60"/>
      </w:pPr>
    </w:p>
    <w:p>
      <w:pPr>
        <w:spacing w:after="120" w:before="0"/>
      </w:pPr>
      <w:r>
        <w:rPr>
          <w:rFonts w:ascii="Calibri" w:cs="Calibri" w:eastAsia="Calibri" w:hAnsi="Calibri"/>
          <w:b/>
          <w:bCs/>
          <w:sz w:val="22"/>
          <w:szCs w:val="22"/>
        </w:rPr>
        <w:t xml:space="preserve">Budget : </w:t>
      </w:r>
      <w:r>
        <w:rPr>
          <w:rFonts w:ascii="Calibri" w:cs="Calibri" w:eastAsia="Calibri" w:hAnsi="Calibri"/>
          <w:sz w:val="22"/>
          <w:szCs w:val="22"/>
        </w:rPr>
        <w:t xml:space="preserve">8-9 semaines dev (1 developpeur) + 8-15 EUR/mois API Mistral + 0.5 jour/mois maintenance prompt.</w:t>
      </w:r>
    </w:p>
    <w:p>
      <w:pPr>
        <w:spacing w:after="120" w:before="0"/>
      </w:pPr>
      <w:r>
        <w:rPr>
          <w:rFonts w:ascii="Calibri" w:cs="Calibri" w:eastAsia="Calibri" w:hAnsi="Calibri"/>
          <w:b/>
          <w:bCs/>
          <w:sz w:val="22"/>
          <w:szCs w:val="22"/>
        </w:rPr>
        <w:t xml:space="preserve">Pre-requis : </w:t>
      </w:r>
      <w:r>
        <w:rPr>
          <w:rFonts w:ascii="Calibri" w:cs="Calibri" w:eastAsia="Calibri" w:hAnsi="Calibri"/>
          <w:sz w:val="22"/>
          <w:szCs w:val="22"/>
        </w:rPr>
        <w:t xml:space="preserve">IDD + DPIA + corpus 50 contrats.</w:t>
      </w:r>
    </w:p>
    <w:p>
      <w:pPr>
        <w:spacing w:after="120" w:before="0"/>
      </w:pPr>
      <w:r>
        <w:rPr>
          <w:rFonts w:ascii="Calibri" w:cs="Calibri" w:eastAsia="Calibri" w:hAnsi="Calibri"/>
          <w:b/>
          <w:bCs/>
          <w:sz w:val="22"/>
          <w:szCs w:val="22"/>
        </w:rPr>
        <w:t xml:space="preserve">Go/No-Go Phase 1 : </w:t>
      </w:r>
      <w:r>
        <w:rPr>
          <w:rFonts w:ascii="Calibri" w:cs="Calibri" w:eastAsia="Calibri" w:hAnsi="Calibri"/>
          <w:sz w:val="22"/>
          <w:szCs w:val="22"/>
        </w:rPr>
        <w:t xml:space="preserve">CTA &gt; 10% ET IDD favorable ET DPIA validee ET precision A &gt;= 85% ET faux positifs &lt; 10% ET coherence conseiller &gt;= 75%.</w:t>
      </w:r>
    </w:p>
    <w:p>
      <w:pPr>
        <w:spacing w:after="200"/>
      </w:pPr>
    </w:p>
    <w:p>
      <w:pPr>
        <w:pBdr>
          <w:top w:val="single" w:color="BDBDBD" w:sz="1" w:space="12"/>
        </w:pBdr>
        <w:jc w:val="center"/>
      </w:pPr>
      <w:r>
        <w:rPr>
          <w:rFonts w:ascii="Calibri" w:cs="Calibri" w:eastAsia="Calibri" w:hAnsi="Calibri"/>
          <w:i/>
          <w:iCs/>
          <w:color w:val="999999"/>
          <w:sz w:val="18"/>
          <w:szCs w:val="18"/>
        </w:rPr>
        <w:t xml:space="preserve">Note etablie le 28 mars 2026 par le college des 14 agents specialises pour decision en comite produit.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Note collegiale V2.1 consolidee — Adequation HOME — Baloise Luxembourg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000d6e"/>
      <w:sz w:val="32"/>
      <w:szCs w:val="32"/>
    </w:rPr>
  </w:style>
  <w:style w:type="paragraph" w:styleId="Heading2">
    <w:name w:val="Heading 2"/>
    <w:basedOn w:val="Normal"/>
    <w:next w:val="Normal"/>
    <w:qFormat/>
    <w:pPr>
      <w:spacing w:after="160" w:before="200"/>
      <w:outlineLvl w:val="1"/>
    </w:pPr>
    <w:rPr>
      <w:rFonts w:ascii="Calibri" w:cs="Calibri" w:eastAsia="Calibri" w:hAnsi="Calibri"/>
      <w:b/>
      <w:bCs/>
      <w:color w:val="000d6e"/>
      <w:sz w:val="26"/>
      <w:szCs w:val="26"/>
    </w:rPr>
  </w:style>
  <w:style w:type="paragraph" w:styleId="Heading3">
    <w:name w:val="Heading 3"/>
    <w:basedOn w:val="Normal"/>
    <w:next w:val="Normal"/>
    <w:qFormat/>
    <w:pPr>
      <w:spacing w:after="120" w:before="160"/>
      <w:outlineLvl w:val="2"/>
    </w:pPr>
    <w:rPr>
      <w:rFonts w:ascii="Calibri" w:cs="Calibri" w:eastAsia="Calibri" w:hAnsi="Calibri"/>
      <w:b/>
      <w:bCs/>
      <w:color w:val="000d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2026-03-28T13:44:36.848Z</dcterms:created>
  <dcterms:modified xsi:type="dcterms:W3CDTF">2026-03-28T13:44:36.858Z</dcterms:modified>
</cp:coreProperties>
</file>

<file path=docProps/custom.xml><?xml version="1.0" encoding="utf-8"?>
<Properties xmlns="http://schemas.openxmlformats.org/officeDocument/2006/custom-properties" xmlns:vt="http://schemas.openxmlformats.org/officeDocument/2006/docPropsVTypes"/>
</file>