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5D6D7E"/>
          <w:sz w:val="28"/>
          <w:szCs w:val="28"/>
        </w:rPr>
        <w:t xml:space="preserve">PRODUCT REQUIREMENTS DOCUMENT</w:t>
      </w:r>
    </w:p>
    <w:p>
      <w:pPr>
        <w:spacing w:after="200"/>
        <w:jc w:val="center"/>
      </w:pPr>
      <w:r>
        <w:rPr>
          <w:rFonts w:ascii="Arial" w:cs="Arial" w:eastAsia="Arial" w:hAnsi="Arial"/>
          <w:b/>
          <w:bCs/>
          <w:color w:val="1B4F72"/>
          <w:sz w:val="48"/>
          <w:szCs w:val="48"/>
        </w:rPr>
        <w:t xml:space="preserve">Diagnostic des Risques Professionnels</w:t>
      </w:r>
    </w:p>
    <w:p>
      <w:pPr>
        <w:spacing w:after="100"/>
        <w:jc w:val="center"/>
      </w:pPr>
      <w:r>
        <w:rPr>
          <w:rFonts w:ascii="Arial" w:cs="Arial" w:eastAsia="Arial" w:hAnsi="Arial"/>
          <w:color w:val="5D6D7E"/>
          <w:sz w:val="26"/>
          <w:szCs w:val="26"/>
        </w:rPr>
        <w:t xml:space="preserve">Outil de scoring et de tarification prévention pour PME</w:t>
      </w:r>
    </w:p>
    <w:p>
      <w:pPr>
        <w:spacing w:after="100"/>
        <w:jc w:val="center"/>
      </w:pPr>
      <w:r>
        <w:rPr>
          <w:rFonts w:ascii="Arial" w:cs="Arial" w:eastAsia="Arial" w:hAnsi="Arial"/>
          <w:b/>
          <w:bCs/>
          <w:color w:val="8E44AD"/>
          <w:sz w:val="22"/>
          <w:szCs w:val="22"/>
        </w:rPr>
        <w:t xml:space="preserve">React + Supabase</w:t>
      </w:r>
    </w:p>
    <w:p>
      <w:pPr>
        <w:spacing w:after="6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jc w:val="right"/>
            </w:pPr>
            <w:r>
              <w:rPr>
                <w:rFonts w:ascii="Arial" w:cs="Arial" w:eastAsia="Arial" w:hAnsi="Arial"/>
                <w:color w:val="5D6D7E"/>
                <w:sz w:val="20"/>
                <w:szCs w:val="20"/>
              </w:rPr>
              <w:t xml:space="preserve">Auteur</w:t>
            </w:r>
          </w:p>
        </w:tc>
        <w:tc>
          <w:tcPr>
            <w:tcW w:type="dxa" w:w="3000"/>
            <w:tcBorders>
              <w:top w:val="none" w:sz="0"/>
              <w:left w:val="none" w:sz="0"/>
              <w:bottom w:val="none" w:sz="0"/>
              <w:right w:val="none" w:sz="0"/>
            </w:tcBorders>
          </w:tcPr>
          <w:p>
            <w:r>
              <w:rPr>
                <w:rFonts w:ascii="Arial" w:cs="Arial" w:eastAsia="Arial" w:hAnsi="Arial"/>
                <w:b/>
                <w:bCs/>
                <w:color w:val="2C3E50"/>
                <w:sz w:val="20"/>
                <w:szCs w:val="20"/>
              </w:rPr>
              <w:t xml:space="preserve">  Pierre Winne</w:t>
            </w:r>
          </w:p>
        </w:tc>
      </w:tr>
      <w:tr>
        <w:tc>
          <w:tcPr>
            <w:tcW w:type="dxa" w:w="2000"/>
            <w:tcBorders>
              <w:top w:val="none" w:sz="0"/>
              <w:left w:val="none" w:sz="0"/>
              <w:bottom w:val="none" w:sz="0"/>
              <w:right w:val="none" w:sz="0"/>
            </w:tcBorders>
          </w:tcPr>
          <w:p>
            <w:pPr>
              <w:jc w:val="right"/>
            </w:pPr>
            <w:r>
              <w:rPr>
                <w:rFonts w:ascii="Arial" w:cs="Arial" w:eastAsia="Arial" w:hAnsi="Arial"/>
                <w:color w:val="5D6D7E"/>
                <w:sz w:val="20"/>
                <w:szCs w:val="20"/>
              </w:rPr>
              <w:t xml:space="preserve">Rôle</w:t>
            </w:r>
          </w:p>
        </w:tc>
        <w:tc>
          <w:tcPr>
            <w:tcW w:type="dxa" w:w="3000"/>
            <w:tcBorders>
              <w:top w:val="none" w:sz="0"/>
              <w:left w:val="none" w:sz="0"/>
              <w:bottom w:val="none" w:sz="0"/>
              <w:right w:val="none" w:sz="0"/>
            </w:tcBorders>
          </w:tcPr>
          <w:p>
            <w:r>
              <w:rPr>
                <w:rFonts w:ascii="Arial" w:cs="Arial" w:eastAsia="Arial" w:hAnsi="Arial"/>
                <w:b/>
                <w:bCs/>
                <w:color w:val="2C3E50"/>
                <w:sz w:val="20"/>
                <w:szCs w:val="20"/>
              </w:rPr>
              <w:t xml:space="preserve">  Head of Product Management</w:t>
            </w:r>
          </w:p>
        </w:tc>
      </w:tr>
      <w:tr>
        <w:tc>
          <w:tcPr>
            <w:tcW w:type="dxa" w:w="2000"/>
            <w:tcBorders>
              <w:top w:val="none" w:sz="0"/>
              <w:left w:val="none" w:sz="0"/>
              <w:bottom w:val="none" w:sz="0"/>
              <w:right w:val="none" w:sz="0"/>
            </w:tcBorders>
          </w:tcPr>
          <w:p>
            <w:pPr>
              <w:jc w:val="right"/>
            </w:pPr>
            <w:r>
              <w:rPr>
                <w:rFonts w:ascii="Arial" w:cs="Arial" w:eastAsia="Arial" w:hAnsi="Arial"/>
                <w:color w:val="5D6D7E"/>
                <w:sz w:val="20"/>
                <w:szCs w:val="20"/>
              </w:rPr>
              <w:t xml:space="preserve">Version</w:t>
            </w:r>
          </w:p>
        </w:tc>
        <w:tc>
          <w:tcPr>
            <w:tcW w:type="dxa" w:w="3000"/>
            <w:tcBorders>
              <w:top w:val="none" w:sz="0"/>
              <w:left w:val="none" w:sz="0"/>
              <w:bottom w:val="none" w:sz="0"/>
              <w:right w:val="none" w:sz="0"/>
            </w:tcBorders>
          </w:tcPr>
          <w:p>
            <w:r>
              <w:rPr>
                <w:rFonts w:ascii="Arial" w:cs="Arial" w:eastAsia="Arial" w:hAnsi="Arial"/>
                <w:b/>
                <w:bCs/>
                <w:color w:val="2C3E50"/>
                <w:sz w:val="20"/>
                <w:szCs w:val="20"/>
              </w:rPr>
              <w:t xml:space="preserve">  1.0 – MVP</w:t>
            </w:r>
          </w:p>
        </w:tc>
      </w:tr>
      <w:tr>
        <w:tc>
          <w:tcPr>
            <w:tcW w:type="dxa" w:w="2000"/>
            <w:tcBorders>
              <w:top w:val="none" w:sz="0"/>
              <w:left w:val="none" w:sz="0"/>
              <w:bottom w:val="none" w:sz="0"/>
              <w:right w:val="none" w:sz="0"/>
            </w:tcBorders>
          </w:tcPr>
          <w:p>
            <w:pPr>
              <w:jc w:val="right"/>
            </w:pPr>
            <w:r>
              <w:rPr>
                <w:rFonts w:ascii="Arial" w:cs="Arial" w:eastAsia="Arial" w:hAnsi="Arial"/>
                <w:color w:val="5D6D7E"/>
                <w:sz w:val="20"/>
                <w:szCs w:val="20"/>
              </w:rPr>
              <w:t xml:space="preserve">Date</w:t>
            </w:r>
          </w:p>
        </w:tc>
        <w:tc>
          <w:tcPr>
            <w:tcW w:type="dxa" w:w="3000"/>
            <w:tcBorders>
              <w:top w:val="none" w:sz="0"/>
              <w:left w:val="none" w:sz="0"/>
              <w:bottom w:val="none" w:sz="0"/>
              <w:right w:val="none" w:sz="0"/>
            </w:tcBorders>
          </w:tcPr>
          <w:p>
            <w:r>
              <w:rPr>
                <w:rFonts w:ascii="Arial" w:cs="Arial" w:eastAsia="Arial" w:hAnsi="Arial"/>
                <w:b/>
                <w:bCs/>
                <w:color w:val="2C3E50"/>
                <w:sz w:val="20"/>
                <w:szCs w:val="20"/>
              </w:rPr>
              <w:t xml:space="preserve">  Mars 2026</w:t>
            </w:r>
          </w:p>
        </w:tc>
      </w:tr>
      <w:tr>
        <w:tc>
          <w:tcPr>
            <w:tcW w:type="dxa" w:w="2000"/>
            <w:tcBorders>
              <w:top w:val="none" w:sz="0"/>
              <w:left w:val="none" w:sz="0"/>
              <w:bottom w:val="none" w:sz="0"/>
              <w:right w:val="none" w:sz="0"/>
            </w:tcBorders>
          </w:tcPr>
          <w:p>
            <w:pPr>
              <w:jc w:val="right"/>
            </w:pPr>
            <w:r>
              <w:rPr>
                <w:rFonts w:ascii="Arial" w:cs="Arial" w:eastAsia="Arial" w:hAnsi="Arial"/>
                <w:color w:val="5D6D7E"/>
                <w:sz w:val="20"/>
                <w:szCs w:val="20"/>
              </w:rPr>
              <w:t xml:space="preserve">Statut</w:t>
            </w:r>
          </w:p>
        </w:tc>
        <w:tc>
          <w:tcPr>
            <w:tcW w:type="dxa" w:w="3000"/>
            <w:tcBorders>
              <w:top w:val="none" w:sz="0"/>
              <w:left w:val="none" w:sz="0"/>
              <w:bottom w:val="none" w:sz="0"/>
              <w:right w:val="none" w:sz="0"/>
            </w:tcBorders>
          </w:tcPr>
          <w:p>
            <w:r>
              <w:rPr>
                <w:rFonts w:ascii="Arial" w:cs="Arial" w:eastAsia="Arial" w:hAnsi="Arial"/>
                <w:b/>
                <w:bCs/>
                <w:color w:val="E67E22"/>
                <w:sz w:val="20"/>
                <w:szCs w:val="20"/>
              </w:rPr>
              <w:t xml:space="preserve">  Draft</w:t>
            </w:r>
          </w:p>
        </w:tc>
      </w:tr>
    </w:tbl>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Contexte et vision</w:t>
      </w:r>
    </w:p>
    <w:p>
      <w:pPr>
        <w:spacing w:after="60"/>
      </w:pPr>
    </w:p>
    <w:p>
      <w:pPr>
        <w:pStyle w:val="Heading2"/>
      </w:pPr>
      <w:r>
        <w:t xml:space="preserve">1.1 Problème</w:t>
      </w:r>
    </w:p>
    <w:p>
      <w:pPr>
        <w:spacing w:after="120"/>
      </w:pPr>
      <w:r>
        <w:rPr>
          <w:rFonts w:ascii="Arial" w:cs="Arial" w:eastAsia="Arial" w:hAnsi="Arial"/>
          <w:color w:val="2C3E50"/>
          <w:sz w:val="22"/>
          <w:szCs w:val="22"/>
        </w:rPr>
        <w:t xml:space="preserve">L’assurance des PME repose encore largement sur un processus d’analyse manuelle. Le courtier ou souscripteur évalue le risque de manière non structurée, ce qui génère plusieurs problèmes.</w:t>
      </w:r>
    </w:p>
    <w:p>
      <w:pPr>
        <w:pStyle w:val="ListParagraph"/>
        <w:numPr>
          <w:ilvl w:val="0"/>
          <w:numId w:val="2"/>
        </w:numPr>
        <w:spacing w:after="60"/>
      </w:pPr>
      <w:r>
        <w:rPr>
          <w:rFonts w:ascii="Arial" w:cs="Arial" w:eastAsia="Arial" w:hAnsi="Arial"/>
          <w:color w:val="2C3E50"/>
          <w:sz w:val="22"/>
          <w:szCs w:val="22"/>
        </w:rPr>
        <w:t xml:space="preserve">Hétérogénéité des analyses d’un souscripteur à l’autre</w:t>
      </w:r>
    </w:p>
    <w:p>
      <w:pPr>
        <w:pStyle w:val="ListParagraph"/>
        <w:numPr>
          <w:ilvl w:val="0"/>
          <w:numId w:val="2"/>
        </w:numPr>
        <w:spacing w:after="60"/>
      </w:pPr>
      <w:r>
        <w:rPr>
          <w:rFonts w:ascii="Arial" w:cs="Arial" w:eastAsia="Arial" w:hAnsi="Arial"/>
          <w:color w:val="2C3E50"/>
          <w:sz w:val="22"/>
          <w:szCs w:val="22"/>
        </w:rPr>
        <w:t xml:space="preserve">Absence de scoring standardisé pour objectiver le risque</w:t>
      </w:r>
    </w:p>
    <w:p>
      <w:pPr>
        <w:pStyle w:val="ListParagraph"/>
        <w:numPr>
          <w:ilvl w:val="0"/>
          <w:numId w:val="2"/>
        </w:numPr>
        <w:spacing w:after="60"/>
      </w:pPr>
      <w:r>
        <w:rPr>
          <w:rFonts w:ascii="Arial" w:cs="Arial" w:eastAsia="Arial" w:hAnsi="Arial"/>
          <w:color w:val="2C3E50"/>
          <w:sz w:val="22"/>
          <w:szCs w:val="22"/>
        </w:rPr>
        <w:t xml:space="preserve">Difficultés à valoriser la prévention dans la tarification</w:t>
      </w:r>
    </w:p>
    <w:p>
      <w:pPr>
        <w:pStyle w:val="ListParagraph"/>
        <w:numPr>
          <w:ilvl w:val="0"/>
          <w:numId w:val="2"/>
        </w:numPr>
        <w:spacing w:after="60"/>
      </w:pPr>
      <w:r>
        <w:rPr>
          <w:rFonts w:ascii="Arial" w:cs="Arial" w:eastAsia="Arial" w:hAnsi="Arial"/>
          <w:color w:val="2C3E50"/>
          <w:sz w:val="22"/>
          <w:szCs w:val="22"/>
        </w:rPr>
        <w:t xml:space="preserve">Processus lent entre la collecte d’information et l’émission d’une offre</w:t>
      </w:r>
    </w:p>
    <w:p>
      <w:pPr>
        <w:pStyle w:val="ListParagraph"/>
        <w:numPr>
          <w:ilvl w:val="0"/>
          <w:numId w:val="2"/>
        </w:numPr>
        <w:spacing w:after="60"/>
      </w:pPr>
      <w:r>
        <w:rPr>
          <w:rFonts w:ascii="Arial" w:cs="Arial" w:eastAsia="Arial" w:hAnsi="Arial"/>
          <w:color w:val="2C3E50"/>
          <w:sz w:val="22"/>
          <w:szCs w:val="22"/>
        </w:rPr>
        <w:t xml:space="preserve">Pas de lien structuré entre le diagnostic de risque et le plan de prévention</w:t>
      </w:r>
    </w:p>
    <w:p>
      <w:pPr>
        <w:spacing w:after="60"/>
      </w:pPr>
    </w:p>
    <w:p>
      <w:pPr>
        <w:pStyle w:val="Heading2"/>
      </w:pPr>
      <w:r>
        <w:t xml:space="preserve">1.2 Vision</w:t>
      </w:r>
    </w:p>
    <w:p>
      <w:pPr>
        <w:spacing w:after="120"/>
      </w:pPr>
      <w:r>
        <w:rPr>
          <w:rFonts w:ascii="Arial" w:cs="Arial" w:eastAsia="Arial" w:hAnsi="Arial"/>
          <w:color w:val="2C3E50"/>
          <w:sz w:val="22"/>
          <w:szCs w:val="22"/>
        </w:rPr>
        <w:t xml:space="preserve">Créer un outil de diagnostic des risques professionnels qui structure l’analyse, objective le scoring et génère automatiquement une double offre commerciale : une offre basée sur le risque actuel et une offre intégrant un plan de prévention avec décote tarifaire.</w:t>
      </w:r>
    </w:p>
    <w:p>
      <w:pPr>
        <w:spacing w:after="30"/>
      </w:pPr>
    </w:p>
    <w:p>
      <w:pPr>
        <w:spacing w:after="120"/>
      </w:pPr>
      <w:r>
        <w:rPr>
          <w:rFonts w:ascii="Arial" w:cs="Arial" w:eastAsia="Arial" w:hAnsi="Arial"/>
          <w:b w:val="false"/>
          <w:bCs w:val="false"/>
          <w:color w:val="2C3E50"/>
          <w:sz w:val="22"/>
          <w:szCs w:val="22"/>
        </w:rPr>
        <w:t xml:space="preserve">Le choix binaire entre les deux offres </w:t>
      </w:r>
      <w:r>
        <w:rPr>
          <w:rFonts w:ascii="Arial" w:cs="Arial" w:eastAsia="Arial" w:hAnsi="Arial"/>
          <w:b/>
          <w:bCs/>
          <w:color w:val="2C3E50"/>
          <w:sz w:val="22"/>
          <w:szCs w:val="22"/>
        </w:rPr>
        <w:t xml:space="preserve">(Offre A : risque actuel vs Offre B : risque amélioré)</w:t>
      </w:r>
      <w:r>
        <w:rPr>
          <w:rFonts w:ascii="Arial" w:cs="Arial" w:eastAsia="Arial" w:hAnsi="Arial"/>
          <w:b w:val="false"/>
          <w:bCs w:val="false"/>
          <w:color w:val="2C3E50"/>
          <w:sz w:val="22"/>
          <w:szCs w:val="22"/>
        </w:rPr>
        <w:t xml:space="preserve"> simplifie la décision du client et crée un levier commercial puissant pour le courtier.</w:t>
      </w:r>
    </w:p>
    <w:p>
      <w:pPr>
        <w:spacing w:after="60"/>
      </w:pPr>
    </w:p>
    <w:p>
      <w:pPr>
        <w:pStyle w:val="Heading2"/>
      </w:pPr>
      <w:r>
        <w:t xml:space="preserve">1.3 Objectifs MVP</w:t>
      </w:r>
    </w:p>
    <w:p>
      <w:pPr>
        <w:pStyle w:val="ListParagraph"/>
        <w:numPr>
          <w:ilvl w:val="0"/>
          <w:numId w:val="3"/>
        </w:numPr>
        <w:spacing w:after="60"/>
      </w:pPr>
      <w:r>
        <w:rPr>
          <w:rFonts w:ascii="Arial" w:cs="Arial" w:eastAsia="Arial" w:hAnsi="Arial"/>
          <w:color w:val="2C3E50"/>
          <w:sz w:val="22"/>
          <w:szCs w:val="22"/>
        </w:rPr>
        <w:t xml:space="preserve">Collecter les informations de l’entreprise et de ses risques via un questionnaire structuré</w:t>
      </w:r>
    </w:p>
    <w:p>
      <w:pPr>
        <w:pStyle w:val="ListParagraph"/>
        <w:numPr>
          <w:ilvl w:val="0"/>
          <w:numId w:val="3"/>
        </w:numPr>
        <w:spacing w:after="60"/>
      </w:pPr>
      <w:r>
        <w:rPr>
          <w:rFonts w:ascii="Arial" w:cs="Arial" w:eastAsia="Arial" w:hAnsi="Arial"/>
          <w:color w:val="2C3E50"/>
          <w:sz w:val="22"/>
          <w:szCs w:val="22"/>
        </w:rPr>
        <w:t xml:space="preserve">Générer un score de risque technique par catégorie et un score global</w:t>
      </w:r>
    </w:p>
    <w:p>
      <w:pPr>
        <w:pStyle w:val="ListParagraph"/>
        <w:numPr>
          <w:ilvl w:val="0"/>
          <w:numId w:val="3"/>
        </w:numPr>
        <w:spacing w:after="60"/>
      </w:pPr>
      <w:r>
        <w:rPr>
          <w:rFonts w:ascii="Arial" w:cs="Arial" w:eastAsia="Arial" w:hAnsi="Arial"/>
          <w:color w:val="2C3E50"/>
          <w:sz w:val="22"/>
          <w:szCs w:val="22"/>
        </w:rPr>
        <w:t xml:space="preserve">Produire automatiquement un plan de prévention personnalisé</w:t>
      </w:r>
    </w:p>
    <w:p>
      <w:pPr>
        <w:pStyle w:val="ListParagraph"/>
        <w:numPr>
          <w:ilvl w:val="0"/>
          <w:numId w:val="3"/>
        </w:numPr>
        <w:spacing w:after="60"/>
      </w:pPr>
      <w:r>
        <w:rPr>
          <w:rFonts w:ascii="Arial" w:cs="Arial" w:eastAsia="Arial" w:hAnsi="Arial"/>
          <w:color w:val="2C3E50"/>
          <w:sz w:val="22"/>
          <w:szCs w:val="22"/>
        </w:rPr>
        <w:t xml:space="preserve">Calculer la double offre tarifaire (Offre A / Offre B)</w:t>
      </w:r>
    </w:p>
    <w:p>
      <w:pPr>
        <w:pStyle w:val="ListParagraph"/>
        <w:numPr>
          <w:ilvl w:val="0"/>
          <w:numId w:val="3"/>
        </w:numPr>
        <w:spacing w:after="60"/>
      </w:pPr>
      <w:r>
        <w:rPr>
          <w:rFonts w:ascii="Arial" w:cs="Arial" w:eastAsia="Arial" w:hAnsi="Arial"/>
          <w:color w:val="2C3E50"/>
          <w:sz w:val="22"/>
          <w:szCs w:val="22"/>
        </w:rPr>
        <w:t xml:space="preserve">Générer un rapport PDF de diagnostic</w:t>
      </w:r>
    </w:p>
    <w:p>
      <w:pPr>
        <w:pStyle w:val="ListParagraph"/>
        <w:numPr>
          <w:ilvl w:val="0"/>
          <w:numId w:val="3"/>
        </w:numPr>
        <w:spacing w:after="60"/>
      </w:pPr>
      <w:r>
        <w:rPr>
          <w:rFonts w:ascii="Arial" w:cs="Arial" w:eastAsia="Arial" w:hAnsi="Arial"/>
          <w:color w:val="2C3E50"/>
          <w:sz w:val="22"/>
          <w:szCs w:val="22"/>
        </w:rPr>
        <w:t xml:space="preserve">Fournir une interface courtier/souscripteur pour piloter l’analyse</w:t>
      </w:r>
    </w:p>
    <w:p>
      <w:pPr>
        <w:spacing w:after="100"/>
      </w:pPr>
    </w:p>
    <w:p>
      <w:r>
        <w:br w:type="page"/>
      </w:r>
    </w:p>
    <w:p>
      <w:pPr>
        <w:pStyle w:val="Heading1"/>
      </w:pPr>
      <w:r>
        <w:t xml:space="preserve">2. Utilisateurs et personas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w:t>
            </w:r>
          </w:p>
        </w:tc>
        <w:tc>
          <w:tcPr>
            <w:tcW w:type="dxa" w:w="3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Courtier / Intermédiaire</w:t>
            </w:r>
          </w:p>
        </w:tc>
        <w:tc>
          <w:tcPr>
            <w:tcW w:type="dxa" w:w="3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Souscripteur (interne)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Objectif</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Structurer l’entretien prospect, présenter une offre différenciante avec la logique prévention</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Évaluer rapidement le risque, valider la cohérence du scoring, émettre une offre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Attente UX</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Parcours guidé, rapide, professionnel. PDF de restitution impactant pour le client.</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Vue technique détaillée, accès aux paramètres de scoring, override possible.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Valeur ajoutée</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Différenciation commerciale par la prévention, gain de temps</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Standardisation de l’analyse, réduction du temps de souscription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Canal</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Application web (desktop + tablette)</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Application web desktop</w:t>
            </w:r>
          </w:p>
        </w:tc>
      </w:tr>
    </w:tbl>
    <w:p>
      <w:pPr>
        <w:spacing w:after="60"/>
      </w:pPr>
    </w:p>
    <w:p>
      <w:pPr>
        <w:pStyle w:val="Heading2"/>
      </w:pPr>
      <w:r>
        <w:t xml:space="preserve">2.1 Client PME (utilisateur indirect)</w:t>
      </w:r>
    </w:p>
    <w:p>
      <w:pPr>
        <w:spacing w:after="120"/>
      </w:pPr>
      <w:r>
        <w:rPr>
          <w:rFonts w:ascii="Arial" w:cs="Arial" w:eastAsia="Arial" w:hAnsi="Arial"/>
          <w:color w:val="2C3E50"/>
          <w:sz w:val="22"/>
          <w:szCs w:val="22"/>
        </w:rPr>
        <w:t xml:space="preserve">Le client PME ne manipule pas l’outil directement mais reçoit le rapport de diagnostic et choisit entre les deux offres. Le PDF doit donc être clair, professionnel et auto-portant.</w:t>
      </w:r>
    </w:p>
    <w:p>
      <w:pPr>
        <w:spacing w:after="100"/>
      </w:pPr>
    </w:p>
    <w:p>
      <w:r>
        <w:br w:type="page"/>
      </w:r>
    </w:p>
    <w:p>
      <w:pPr>
        <w:pStyle w:val="Heading1"/>
      </w:pPr>
      <w:r>
        <w:t xml:space="preserve">3. Catégories de risques</w:t>
      </w:r>
    </w:p>
    <w:p>
      <w:pPr>
        <w:spacing w:after="60"/>
      </w:pPr>
    </w:p>
    <w:p>
      <w:pPr>
        <w:spacing w:after="120"/>
      </w:pPr>
      <w:r>
        <w:rPr>
          <w:rFonts w:ascii="Arial" w:cs="Arial" w:eastAsia="Arial" w:hAnsi="Arial"/>
          <w:color w:val="2C3E50"/>
          <w:sz w:val="22"/>
          <w:szCs w:val="22"/>
        </w:rPr>
        <w:t xml:space="preserve">Le diagnostic évalue l’entreprise sur six catégories de risque. Chaque catégorie contribue au score global avec une pondération ajustable selon le secteur d’activité.</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82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Catégorie</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Périmètre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Facteurs clés</w:t>
            </w:r>
          </w:p>
        </w:tc>
        <w:tc>
          <w:tcPr>
            <w:tcW w:type="dxa" w:w="18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Poids par défaut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Incendie / Dommages aux biens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Bâtiments, stocks, matériel. Risque de destruction partielle ou totale des actifs.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Type de bâtiment, matériaux, stockage, proximité pompiers</w:t>
            </w:r>
          </w:p>
        </w:tc>
        <w:tc>
          <w:tcPr>
            <w:tcW w:type="dxa" w:w="18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25%</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Responsabilité Civile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RC exploitation, RC produits, RC professionnelle. Dommages causés aux tiers.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Activité, CA, export, sous-traitance, historique sinistres</w:t>
            </w:r>
          </w:p>
        </w:tc>
        <w:tc>
          <w:tcPr>
            <w:tcW w:type="dxa" w:w="18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Dépendance opérationnelle</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Perte d’exploitation, dépendance fournisseurs, continuité d’activité.</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Mono-site, mono-fournisseur, PCA existant, délai de reprise</w:t>
            </w:r>
          </w:p>
        </w:tc>
        <w:tc>
          <w:tcPr>
            <w:tcW w:type="dxa" w:w="18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Équipements / Machines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Bris de machine, défaillance équipement, obsolescence technique.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Âge du parc, maintenance, criticité, valeur de remplacement</w:t>
            </w:r>
          </w:p>
        </w:tc>
        <w:tc>
          <w:tcPr>
            <w:tcW w:type="dxa" w:w="18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Cyber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Attaque informatique, fuite de données, ransomware, interruption SI.</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Maturité SI, données sensibles, cloud, sauvegardes, formation</w:t>
            </w:r>
          </w:p>
        </w:tc>
        <w:tc>
          <w:tcPr>
            <w:tcW w:type="dxa" w:w="18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Flotte / Véhicules</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Véhicules d’entreprise, transport de marchandises, déplacements.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Taille flotte, type véhicules, sinistralité, politique conducteur</w:t>
            </w:r>
          </w:p>
        </w:tc>
        <w:tc>
          <w:tcPr>
            <w:tcW w:type="dxa" w:w="18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w:t>
            </w:r>
          </w:p>
        </w:tc>
      </w:tr>
    </w:tbl>
    <w:p>
      <w:pPr>
        <w:spacing w:after="60"/>
      </w:pPr>
    </w:p>
    <w:p>
      <w:pPr>
        <w:spacing w:after="120"/>
      </w:pPr>
      <w:r>
        <w:rPr>
          <w:rFonts w:ascii="Arial" w:cs="Arial" w:eastAsia="Arial" w:hAnsi="Arial"/>
          <w:color w:val="2C3E50"/>
          <w:sz w:val="22"/>
          <w:szCs w:val="22"/>
        </w:rPr>
        <w:t xml:space="preserve">La pondération est ajustée automatiquement selon le code NACE de l’entreprise. Par exemple, une entreprise industrielle verra le poids Incendie et Équipements augmenté, tandis qu’un cabinet de conseil verra le poids Cyber augmenté.</w:t>
      </w:r>
    </w:p>
    <w:p>
      <w:pPr>
        <w:spacing w:after="100"/>
      </w:pPr>
    </w:p>
    <w:p>
      <w:r>
        <w:br w:type="page"/>
      </w:r>
    </w:p>
    <w:p>
      <w:pPr>
        <w:pStyle w:val="Heading1"/>
      </w:pPr>
      <w:r>
        <w:t xml:space="preserve">4. Modélisation du scoring</w:t>
      </w:r>
    </w:p>
    <w:p>
      <w:pPr>
        <w:spacing w:after="60"/>
      </w:pPr>
    </w:p>
    <w:p>
      <w:pPr>
        <w:pStyle w:val="Heading2"/>
      </w:pPr>
      <w:r>
        <w:t xml:space="preserve">4.1 Architecture du scoring</w:t>
      </w:r>
    </w:p>
    <w:p>
      <w:pPr>
        <w:spacing w:after="120"/>
      </w:pPr>
      <w:r>
        <w:rPr>
          <w:rFonts w:ascii="Arial" w:cs="Arial" w:eastAsia="Arial" w:hAnsi="Arial"/>
          <w:color w:val="2C3E50"/>
          <w:sz w:val="22"/>
          <w:szCs w:val="22"/>
        </w:rPr>
        <w:t xml:space="preserve">Le scoring s’organise en trois niveaux hiérarchiques, du plus granulaire au plus agrégé.</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Niveau</w:t>
            </w:r>
          </w:p>
        </w:tc>
        <w:tc>
          <w:tcPr>
            <w:tcW w:type="dxa" w:w="4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Échelle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Facteur de risque</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Score unitaire par question / critère. Chaque réponse produit un score élémentaire.</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0 à 10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Score catégorie</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Moyenne pondérée des facteurs de risque au sein d’une catégorie.</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0 à 100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Score global</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Moyenne pondérée des scores catégorie selon les poids sectoriels.</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0 à 100</w:t>
            </w:r>
          </w:p>
        </w:tc>
      </w:tr>
    </w:tbl>
    <w:p>
      <w:pPr>
        <w:spacing w:after="120"/>
      </w:pPr>
    </w:p>
    <w:p>
      <w:pPr>
        <w:pStyle w:val="Heading2"/>
      </w:pPr>
      <w:r>
        <w:t xml:space="preserve">4.2 Calcul du score par catégorie</w:t>
      </w:r>
    </w:p>
    <w:p>
      <w:pPr>
        <w:spacing w:after="120"/>
      </w:pPr>
      <w:r>
        <w:rPr>
          <w:rFonts w:ascii="Arial" w:cs="Arial" w:eastAsia="Arial" w:hAnsi="Arial"/>
          <w:color w:val="2C3E50"/>
          <w:sz w:val="22"/>
          <w:szCs w:val="22"/>
        </w:rPr>
        <w:t xml:space="preserve">Chaque catégorie contient entre 4 et 8 facteurs de risque. Chaque facteur est évalué sur une échelle de 0 (risque nul) à 10 (risque maximal).</w:t>
      </w:r>
    </w:p>
    <w:p>
      <w:pPr>
        <w:spacing w:after="30"/>
      </w:pPr>
    </w:p>
    <w:p>
      <w:pPr>
        <w:pStyle w:val="Heading3"/>
      </w:pPr>
      <w:r>
        <w:t xml:space="preserve">Exemple : Catégorie Incendie / Dommages aux biens</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300"/>
        <w:gridCol w:w="2226"/>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Facteur</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Poids</w:t>
            </w:r>
          </w:p>
        </w:tc>
        <w:tc>
          <w:tcPr>
            <w:tcW w:type="dxa" w:w="2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Évaluation</w:t>
            </w:r>
          </w:p>
        </w:tc>
        <w:tc>
          <w:tcPr>
            <w:tcW w:type="dxa" w:w="2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exemple</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Type de construction</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Béton = 2, Mixte = 5, Bois = 8</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 / 10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Système de détection incendie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 complet = 1, Partiel = 5, Non = 9</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 / 10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Stockage matières dangereuses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Non = 0, Limité = 5, Important = 9</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0 / 10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Proximité services incendie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10%</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&lt; 5 km = 2, 5-15 km = 5, &gt; 15 km = 8</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 / 10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Historique sinistres (5 ans)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0 sinistre = 1, 1-2 = 5, 3+ = 9</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 / 10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Valeur des actifs exposés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&lt; 200K = 2, 200K-1M = 5, &gt; 1M = 8</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 / 10</w:t>
            </w:r>
          </w:p>
        </w:tc>
      </w:tr>
    </w:tbl>
    <w:p>
      <w:pPr>
        <w:spacing w:after="30"/>
      </w:pPr>
    </w:p>
    <w:p>
      <w:pPr>
        <w:spacing w:after="120"/>
      </w:pPr>
      <w:r>
        <w:rPr>
          <w:rFonts w:ascii="Arial" w:cs="Arial" w:eastAsia="Arial" w:hAnsi="Arial"/>
          <w:b/>
          <w:bCs/>
          <w:color w:val="2C3E50"/>
          <w:sz w:val="22"/>
          <w:szCs w:val="22"/>
        </w:rPr>
        <w:t xml:space="preserve">Score catégorie = </w:t>
      </w:r>
      <w:r>
        <w:rPr>
          <w:rFonts w:ascii="Arial" w:cs="Arial" w:eastAsia="Arial" w:hAnsi="Arial"/>
          <w:b w:val="false"/>
          <w:bCs w:val="false"/>
          <w:color w:val="2C3E50"/>
          <w:sz w:val="22"/>
          <w:szCs w:val="22"/>
        </w:rPr>
        <w:t xml:space="preserve">(5×0,20 + 1×0,20 + 0×0,15 + 2×0,10 + 1×0,20 + 5×0,15) × 10 = </w:t>
      </w:r>
      <w:r>
        <w:rPr>
          <w:rFonts w:ascii="Arial" w:cs="Arial" w:eastAsia="Arial" w:hAnsi="Arial"/>
          <w:b/>
          <w:bCs/>
          <w:color w:val="27AE60"/>
          <w:sz w:val="22"/>
          <w:szCs w:val="22"/>
        </w:rPr>
        <w:t xml:space="preserve">25 / 100</w:t>
      </w:r>
    </w:p>
    <w:p>
      <w:pPr>
        <w:spacing w:after="120"/>
      </w:pPr>
    </w:p>
    <w:p>
      <w:pPr>
        <w:pStyle w:val="Heading2"/>
      </w:pPr>
      <w:r>
        <w:t xml:space="preserve">4.3 Classification du risque</w:t>
      </w:r>
    </w:p>
    <w:p>
      <w:pPr>
        <w:spacing w:after="120"/>
      </w:pPr>
      <w:r>
        <w:rPr>
          <w:rFonts w:ascii="Arial" w:cs="Arial" w:eastAsia="Arial" w:hAnsi="Arial"/>
          <w:color w:val="2C3E50"/>
          <w:sz w:val="22"/>
          <w:szCs w:val="22"/>
        </w:rPr>
        <w:t xml:space="preserve">Le score par catégorie et le score global sont traduits en un niveau de risque.</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626"/>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Niveau</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Interprétation</w:t>
            </w:r>
          </w:p>
        </w:tc>
        <w:tc>
          <w:tcPr>
            <w:tcW w:type="dxa" w:w="26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tarifaire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0 – 25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7AE60"/>
                <w:sz w:val="20"/>
                <w:szCs w:val="20"/>
              </w:rPr>
              <w:t xml:space="preserve">Faible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Risque bien maîtrisé, peu d’exposition</w:t>
            </w:r>
          </w:p>
        </w:tc>
        <w:tc>
          <w:tcPr>
            <w:tcW w:type="dxa" w:w="26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Tarif de base, conditions favorables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26 – 50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E67E22"/>
                <w:sz w:val="20"/>
                <w:szCs w:val="20"/>
              </w:rPr>
              <w:t xml:space="preserve">Modéré</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Risque standard, axes d’amélioration identifiés</w:t>
            </w:r>
          </w:p>
        </w:tc>
        <w:tc>
          <w:tcPr>
            <w:tcW w:type="dxa" w:w="26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Tarif standard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51 – 75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E74C3C"/>
                <w:sz w:val="20"/>
                <w:szCs w:val="20"/>
              </w:rPr>
              <w:t xml:space="preserve">Élevé</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Exposition significative, actions de prévention recommandées</w:t>
            </w:r>
          </w:p>
        </w:tc>
        <w:tc>
          <w:tcPr>
            <w:tcW w:type="dxa" w:w="26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Surprime applicable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76 – 100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E74C3C"/>
                <w:sz w:val="20"/>
                <w:szCs w:val="20"/>
              </w:rPr>
              <w:t xml:space="preserve">Critique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Risque inacceptable en l’état, prévention indispensable</w:t>
            </w:r>
          </w:p>
        </w:tc>
        <w:tc>
          <w:tcPr>
            <w:tcW w:type="dxa" w:w="26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Surprime forte ou refus sans prévention</w:t>
            </w:r>
          </w:p>
        </w:tc>
      </w:tr>
    </w:tbl>
    <w:p>
      <w:pPr>
        <w:spacing w:after="120"/>
      </w:pPr>
    </w:p>
    <w:p>
      <w:pPr>
        <w:pStyle w:val="Heading2"/>
      </w:pPr>
      <w:r>
        <w:t xml:space="preserve">4.4 Score global</w:t>
      </w:r>
    </w:p>
    <w:p>
      <w:pPr>
        <w:spacing w:after="120"/>
      </w:pPr>
      <w:r>
        <w:rPr>
          <w:rFonts w:ascii="Arial" w:cs="Arial" w:eastAsia="Arial" w:hAnsi="Arial"/>
          <w:color w:val="2C3E50"/>
          <w:sz w:val="22"/>
          <w:szCs w:val="22"/>
        </w:rPr>
        <w:t xml:space="preserve">Le score global est calculé comme une somme pondérée des scores par catégorie.</w:t>
      </w:r>
    </w:p>
    <w:p>
      <w:pPr>
        <w:spacing w:after="30"/>
      </w:pPr>
    </w:p>
    <w:p>
      <w:pPr>
        <w:spacing w:after="120"/>
      </w:pPr>
      <w:r>
        <w:rPr>
          <w:rFonts w:ascii="Arial" w:cs="Arial" w:eastAsia="Arial" w:hAnsi="Arial"/>
          <w:b/>
          <w:bCs/>
          <w:color w:val="2C3E50"/>
          <w:sz w:val="22"/>
          <w:szCs w:val="22"/>
        </w:rPr>
        <w:t xml:space="preserve">Score global = Σ (Score_catégorieᵢ × Poidsᵢ)</w:t>
      </w:r>
    </w:p>
    <w:p>
      <w:pPr>
        <w:spacing w:after="30"/>
      </w:pPr>
    </w:p>
    <w:p>
      <w:pPr>
        <w:spacing w:after="120"/>
      </w:pPr>
      <w:r>
        <w:rPr>
          <w:rFonts w:ascii="Arial" w:cs="Arial" w:eastAsia="Arial" w:hAnsi="Arial"/>
          <w:color w:val="2C3E50"/>
          <w:sz w:val="22"/>
          <w:szCs w:val="22"/>
        </w:rPr>
        <w:t xml:space="preserve">Les poids sont définis par le profil sectoriel (code NACE) et peuvent être ajustés manuellement par le souscripteur. La somme des poids est toujours égale à 100%.</w:t>
      </w:r>
    </w:p>
    <w:p>
      <w:pPr>
        <w:spacing w:after="60"/>
      </w:pPr>
    </w:p>
    <w:p>
      <w:pPr>
        <w:pStyle w:val="Heading3"/>
      </w:pPr>
      <w:r>
        <w:t xml:space="preserve">Profils sectoriels prédéfinis (MVP)</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00"/>
        <w:gridCol w:w="1300"/>
        <w:gridCol w:w="1226"/>
        <w:gridCol w:w="1200"/>
        <w:gridCol w:w="130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Secteur</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Incendie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RC</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Dépendance</w:t>
            </w:r>
          </w:p>
        </w:tc>
        <w:tc>
          <w:tcPr>
            <w:tcW w:type="dxa" w:w="1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Équip.</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Cyber</w:t>
            </w:r>
          </w:p>
        </w:tc>
        <w:tc>
          <w:tcPr>
            <w:tcW w:type="dxa" w:w="1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Flotte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Industrie</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30%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1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10%</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Commerce</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25%</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25%</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1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Services / Conseil</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25%</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1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35%</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10%</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BTP / Construction</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30%</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1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10%</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Logistique / Transport</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1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10%</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25%</w:t>
            </w:r>
          </w:p>
        </w:tc>
      </w:tr>
    </w:tbl>
    <w:p>
      <w:pPr>
        <w:spacing w:after="100"/>
      </w:pPr>
    </w:p>
    <w:p>
      <w:r>
        <w:br w:type="page"/>
      </w:r>
    </w:p>
    <w:p>
      <w:pPr>
        <w:pStyle w:val="Heading1"/>
      </w:pPr>
      <w:r>
        <w:t xml:space="preserve">5. Logique de la double offre</w:t>
      </w:r>
    </w:p>
    <w:p>
      <w:pPr>
        <w:spacing w:after="60"/>
      </w:pPr>
    </w:p>
    <w:p>
      <w:pPr>
        <w:pStyle w:val="Heading2"/>
      </w:pPr>
      <w:r>
        <w:t xml:space="preserve">5.1 Principe fondamental</w:t>
      </w:r>
    </w:p>
    <w:p>
      <w:pPr>
        <w:spacing w:after="120"/>
      </w:pPr>
      <w:r>
        <w:rPr>
          <w:rFonts w:ascii="Arial" w:cs="Arial" w:eastAsia="Arial" w:hAnsi="Arial"/>
          <w:color w:val="2C3E50"/>
          <w:sz w:val="22"/>
          <w:szCs w:val="22"/>
        </w:rPr>
        <w:t xml:space="preserve">Le diagnostic génère systématiquement deux offres commerciales présentées côte à côte. Le client choisit entre les deux. Ce choix binaire est au cœur de la proposition de valeur.</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left"/>
            </w:pPr>
            <w:r>
              <w:rPr>
                <w:rFonts w:ascii="Arial" w:cs="Arial" w:eastAsia="Arial" w:hAnsi="Arial"/>
                <w:b/>
                <w:bCs/>
                <w:color w:val="E74C3C"/>
                <w:sz w:val="24"/>
                <w:szCs w:val="24"/>
              </w:rPr>
              <w:t xml:space="preserve">OFFRE A – Risque actuel</w:t>
            </w:r>
          </w:p>
        </w:tc>
        <w:tc>
          <w:tcPr>
            <w:tcW w:type="dxa" w:w="4513"/>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tcPr>
          <w:p>
            <w:pPr>
              <w:jc w:val="left"/>
            </w:pPr>
            <w:r>
              <w:rPr>
                <w:rFonts w:ascii="Arial" w:cs="Arial" w:eastAsia="Arial" w:hAnsi="Arial"/>
                <w:b/>
                <w:bCs/>
                <w:color w:val="27AE60"/>
                <w:sz w:val="24"/>
                <w:szCs w:val="24"/>
              </w:rPr>
              <w:t xml:space="preserve">OFFRE B – Risque amélioré</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Couverture basée sur le profil de risque tel qu’évalué lors du diagnostic.</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Couverture basée sur le profil de risque après mise en œuvre du plan de prévention.</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Prime standard, calculée sur le score actuel.</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7AE60"/>
                <w:sz w:val="20"/>
                <w:szCs w:val="20"/>
              </w:rPr>
              <w:t xml:space="preserve">Prime réduite, intégrant une décote prévention.</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Aucun engagement de prévention requis.</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Engagement contractuel sur un plan de prévention avec échéancier.</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iCs/>
                <w:color w:val="5D6D7E"/>
                <w:sz w:val="20"/>
                <w:szCs w:val="20"/>
              </w:rPr>
              <w:t xml:space="preserve">Le client paie plus mais ne change rien.</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iCs/>
                <w:color w:val="5D6D7E"/>
                <w:sz w:val="20"/>
                <w:szCs w:val="20"/>
              </w:rPr>
              <w:t xml:space="preserve">Le client paie moins mais s’engage à améliorer son risque.</w:t>
            </w:r>
          </w:p>
        </w:tc>
      </w:tr>
    </w:tbl>
    <w:p>
      <w:pPr>
        <w:spacing w:after="120"/>
      </w:pPr>
    </w:p>
    <w:p>
      <w:pPr>
        <w:pStyle w:val="Heading2"/>
      </w:pPr>
      <w:r>
        <w:t xml:space="preserve">5.2 Mécanique de calcul de la décote</w:t>
      </w:r>
    </w:p>
    <w:p>
      <w:pPr>
        <w:spacing w:after="30"/>
      </w:pPr>
    </w:p>
    <w:p>
      <w:pPr>
        <w:pStyle w:val="Heading3"/>
      </w:pPr>
      <w:r>
        <w:t xml:space="preserve">Étape 1 : Identifier les actions de prévention</w:t>
      </w:r>
    </w:p>
    <w:p>
      <w:pPr>
        <w:spacing w:after="120"/>
      </w:pPr>
      <w:r>
        <w:rPr>
          <w:rFonts w:ascii="Arial" w:cs="Arial" w:eastAsia="Arial" w:hAnsi="Arial"/>
          <w:color w:val="2C3E50"/>
          <w:sz w:val="22"/>
          <w:szCs w:val="22"/>
        </w:rPr>
        <w:t xml:space="preserve">Pour chaque facteur de risque dont le score est supérieur ou égal à 5/10, le système propose une ou plusieurs actions de prévention. Chaque action est associée à une réduction de score estimée.</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de prévention</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Catégorie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Réduction score</w:t>
            </w:r>
          </w:p>
        </w:tc>
        <w:tc>
          <w:tcPr>
            <w:tcW w:type="dxa" w:w="2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Coût indicatif</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Installer détection incendie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Incendie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-3 points sur le facteur</w:t>
            </w:r>
          </w:p>
        </w:tc>
        <w:tc>
          <w:tcPr>
            <w:tcW w:type="dxa" w:w="2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2 000 – 8 000€</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Rédiger un PCA</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Dépendance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-4 points sur le facteur</w:t>
            </w:r>
          </w:p>
        </w:tc>
        <w:tc>
          <w:tcPr>
            <w:tcW w:type="dxa" w:w="2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3 000 – 10 000€</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Former les employés cyber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Cyber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-2 points sur le facteur</w:t>
            </w:r>
          </w:p>
        </w:tc>
        <w:tc>
          <w:tcPr>
            <w:tcW w:type="dxa" w:w="2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1 500 – 5 000€</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Mettre en place sauvegardes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Cyber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-3 points sur le facteur</w:t>
            </w:r>
          </w:p>
        </w:tc>
        <w:tc>
          <w:tcPr>
            <w:tcW w:type="dxa" w:w="2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500 – 3 000€</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Maintenance préventive machines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Équipements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-3 points sur le facteur</w:t>
            </w:r>
          </w:p>
        </w:tc>
        <w:tc>
          <w:tcPr>
            <w:tcW w:type="dxa" w:w="2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Variable</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Diversifier les fournisseurs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Dépendance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-2 points sur le facteur</w:t>
            </w:r>
          </w:p>
        </w:tc>
        <w:tc>
          <w:tcPr>
            <w:tcW w:type="dxa" w:w="2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Variable</w:t>
            </w:r>
          </w:p>
        </w:tc>
      </w:tr>
    </w:tbl>
    <w:p>
      <w:pPr>
        <w:spacing w:after="60"/>
      </w:pPr>
    </w:p>
    <w:p>
      <w:pPr>
        <w:pStyle w:val="Heading3"/>
      </w:pPr>
      <w:r>
        <w:t xml:space="preserve">Étape 2 : Calculer le score amélioré</w:t>
      </w:r>
    </w:p>
    <w:p>
      <w:pPr>
        <w:spacing w:after="120"/>
      </w:pPr>
      <w:r>
        <w:rPr>
          <w:rFonts w:ascii="Arial" w:cs="Arial" w:eastAsia="Arial" w:hAnsi="Arial"/>
          <w:color w:val="2C3E50"/>
          <w:sz w:val="22"/>
          <w:szCs w:val="22"/>
        </w:rPr>
        <w:t xml:space="preserve">Le score amélioré par catégorie est recalculé en appliquant les réductions des actions de prévention sélectionnées sur les facteurs concernés. Le score amélioré global est ensuite recalculé avec les mêmes pondérations.</w:t>
      </w:r>
    </w:p>
    <w:p>
      <w:pPr>
        <w:spacing w:after="30"/>
      </w:pPr>
    </w:p>
    <w:p>
      <w:pPr>
        <w:spacing w:after="120"/>
      </w:pPr>
      <w:r>
        <w:rPr>
          <w:rFonts w:ascii="Arial" w:cs="Arial" w:eastAsia="Arial" w:hAnsi="Arial"/>
          <w:b/>
          <w:bCs/>
          <w:color w:val="2C3E50"/>
          <w:sz w:val="22"/>
          <w:szCs w:val="22"/>
        </w:rPr>
        <w:t xml:space="preserve">Score_amélioré_cat = </w:t>
      </w:r>
      <w:r>
        <w:rPr>
          <w:rFonts w:ascii="Arial" w:cs="Arial" w:eastAsia="Arial" w:hAnsi="Arial"/>
          <w:b w:val="false"/>
          <w:bCs w:val="false"/>
          <w:color w:val="2C3E50"/>
          <w:sz w:val="22"/>
          <w:szCs w:val="22"/>
        </w:rPr>
        <w:t xml:space="preserve">Σ (max(0, Score_facteurᵢ – Réductionᵢ) × Poids_facteurᵢ) × 10</w:t>
      </w:r>
    </w:p>
    <w:p>
      <w:pPr>
        <w:spacing w:after="60"/>
      </w:pPr>
    </w:p>
    <w:p>
      <w:pPr>
        <w:pStyle w:val="Heading3"/>
      </w:pPr>
      <w:r>
        <w:t xml:space="preserve">Étape 3 : Calculer la décote tarifaire</w:t>
      </w:r>
    </w:p>
    <w:p>
      <w:pPr>
        <w:spacing w:after="120"/>
      </w:pPr>
      <w:r>
        <w:rPr>
          <w:rFonts w:ascii="Arial" w:cs="Arial" w:eastAsia="Arial" w:hAnsi="Arial"/>
          <w:color w:val="2C3E50"/>
          <w:sz w:val="22"/>
          <w:szCs w:val="22"/>
        </w:rPr>
        <w:t xml:space="preserve">La décote est proportionnelle à l’écart entre le score actuel et le score amélioré, bornée entre 0% et un plafond configurable.</w:t>
      </w:r>
    </w:p>
    <w:p>
      <w:pPr>
        <w:spacing w:after="30"/>
      </w:pPr>
    </w:p>
    <w:p>
      <w:pPr>
        <w:spacing w:after="120"/>
      </w:pPr>
      <w:r>
        <w:rPr>
          <w:rFonts w:ascii="Arial" w:cs="Arial" w:eastAsia="Arial" w:hAnsi="Arial"/>
          <w:b/>
          <w:bCs/>
          <w:color w:val="2C3E50"/>
          <w:sz w:val="22"/>
          <w:szCs w:val="22"/>
        </w:rPr>
        <w:t xml:space="preserve">Décote (%) = </w:t>
      </w:r>
      <w:r>
        <w:rPr>
          <w:rFonts w:ascii="Arial" w:cs="Arial" w:eastAsia="Arial" w:hAnsi="Arial"/>
          <w:b w:val="false"/>
          <w:bCs w:val="false"/>
          <w:color w:val="2C3E50"/>
          <w:sz w:val="22"/>
          <w:szCs w:val="22"/>
        </w:rPr>
        <w:t xml:space="preserve">min(Plafond, (Score_actuel – Score_amélioré) / Score_actuel × Facteur_décote)</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Paramètre</w:t>
            </w:r>
          </w:p>
        </w:tc>
        <w:tc>
          <w:tcPr>
            <w:tcW w:type="dxa" w:w="27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Valeur MVP</w:t>
            </w:r>
          </w:p>
        </w:tc>
        <w:tc>
          <w:tcPr>
            <w:tcW w:type="dxa" w:w="27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Configurable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Facteur de décote</w:t>
            </w:r>
          </w:p>
        </w:tc>
        <w:tc>
          <w:tcPr>
            <w:tcW w:type="dxa" w:w="27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0.5</w:t>
            </w:r>
          </w:p>
        </w:tc>
        <w:tc>
          <w:tcPr>
            <w:tcW w:type="dxa" w:w="27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 (par le souscripteur)</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Décote plancher</w:t>
            </w:r>
          </w:p>
        </w:tc>
        <w:tc>
          <w:tcPr>
            <w:tcW w:type="dxa" w:w="27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w:t>
            </w:r>
          </w:p>
        </w:tc>
        <w:tc>
          <w:tcPr>
            <w:tcW w:type="dxa" w:w="27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Décote plafond</w:t>
            </w:r>
          </w:p>
        </w:tc>
        <w:tc>
          <w:tcPr>
            <w:tcW w:type="dxa" w:w="27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25%</w:t>
            </w:r>
          </w:p>
        </w:tc>
        <w:tc>
          <w:tcPr>
            <w:tcW w:type="dxa" w:w="27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w:t>
            </w:r>
          </w:p>
        </w:tc>
      </w:tr>
    </w:tbl>
    <w:p>
      <w:pPr>
        <w:spacing w:after="60"/>
      </w:pPr>
    </w:p>
    <w:p>
      <w:pPr>
        <w:pStyle w:val="Heading3"/>
      </w:pPr>
      <w:r>
        <w:t xml:space="preserve">Exemple chiffré</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Offre A – Risque actuel</w:t>
            </w:r>
          </w:p>
        </w:tc>
        <w:tc>
          <w:tcPr>
            <w:tcW w:type="dxa" w:w="4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Offre B – Risque amélioré</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E74C3C"/>
                <w:sz w:val="20"/>
                <w:szCs w:val="20"/>
              </w:rPr>
              <w:t xml:space="preserve">Score global : 58 / 100 (Élevé)</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7AE60"/>
                <w:sz w:val="20"/>
                <w:szCs w:val="20"/>
              </w:rPr>
              <w:t xml:space="preserve">Score amélioré : 35 / 100 (Modéré)</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Prime annuelle : 12 500€</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7AE60"/>
                <w:sz w:val="20"/>
                <w:szCs w:val="20"/>
              </w:rPr>
              <w:t xml:space="preserve">Prime annuelle : 9 600€ (−23%)</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Aucune condition</w:t>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3 actions de prévention à réaliser sous 12 mois</w:t>
            </w:r>
          </w:p>
        </w:tc>
      </w:tr>
      <w:tr>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
            </w:r>
          </w:p>
        </w:tc>
        <w:tc>
          <w:tcPr>
            <w:tcW w:type="dxa" w:w="4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7AE60"/>
                <w:sz w:val="20"/>
                <w:szCs w:val="20"/>
              </w:rPr>
              <w:t xml:space="preserve">Économie annuelle : 2 900€</w:t>
            </w:r>
          </w:p>
        </w:tc>
      </w:tr>
    </w:tbl>
    <w:p>
      <w:pPr>
        <w:spacing w:after="120"/>
      </w:pPr>
    </w:p>
    <w:p>
      <w:pPr>
        <w:pStyle w:val="Heading2"/>
      </w:pPr>
      <w:r>
        <w:t xml:space="preserve">5.3 Engagement contractuel prévention</w:t>
      </w:r>
    </w:p>
    <w:p>
      <w:pPr>
        <w:spacing w:after="120"/>
      </w:pPr>
      <w:r>
        <w:rPr>
          <w:rFonts w:ascii="Arial" w:cs="Arial" w:eastAsia="Arial" w:hAnsi="Arial"/>
          <w:color w:val="2C3E50"/>
          <w:sz w:val="22"/>
          <w:szCs w:val="22"/>
        </w:rPr>
        <w:t xml:space="preserve">Si le client choisit l’Offre B, le plan de prévention devient un engagement contractuel avec les modalités suivantes.</w:t>
      </w:r>
    </w:p>
    <w:p>
      <w:pPr>
        <w:pStyle w:val="ListParagraph"/>
        <w:numPr>
          <w:ilvl w:val="0"/>
          <w:numId w:val="2"/>
        </w:numPr>
        <w:spacing w:after="60"/>
      </w:pPr>
      <w:r>
        <w:rPr>
          <w:rFonts w:ascii="Arial" w:cs="Arial" w:eastAsia="Arial" w:hAnsi="Arial"/>
          <w:color w:val="2C3E50"/>
          <w:sz w:val="22"/>
          <w:szCs w:val="22"/>
        </w:rPr>
        <w:t xml:space="preserve">Chaque action a une échéance définie (3, 6 ou 12 mois)</w:t>
      </w:r>
    </w:p>
    <w:p>
      <w:pPr>
        <w:pStyle w:val="ListParagraph"/>
        <w:numPr>
          <w:ilvl w:val="0"/>
          <w:numId w:val="2"/>
        </w:numPr>
        <w:spacing w:after="60"/>
      </w:pPr>
      <w:r>
        <w:rPr>
          <w:rFonts w:ascii="Arial" w:cs="Arial" w:eastAsia="Arial" w:hAnsi="Arial"/>
          <w:color w:val="2C3E50"/>
          <w:sz w:val="22"/>
          <w:szCs w:val="22"/>
        </w:rPr>
        <w:t xml:space="preserve">Le courtier ou un expert mandaté vérifie la réalisation</w:t>
      </w:r>
    </w:p>
    <w:p>
      <w:pPr>
        <w:pStyle w:val="ListParagraph"/>
        <w:numPr>
          <w:ilvl w:val="0"/>
          <w:numId w:val="2"/>
        </w:numPr>
        <w:spacing w:after="60"/>
      </w:pPr>
      <w:r>
        <w:rPr>
          <w:rFonts w:ascii="Arial" w:cs="Arial" w:eastAsia="Arial" w:hAnsi="Arial"/>
          <w:color w:val="2C3E50"/>
          <w:sz w:val="22"/>
          <w:szCs w:val="22"/>
        </w:rPr>
        <w:t xml:space="preserve">En cas de non-réalisation à l’échéance, la prime est réajustée au tarif Offre A</w:t>
      </w:r>
    </w:p>
    <w:p>
      <w:pPr>
        <w:pStyle w:val="ListParagraph"/>
        <w:numPr>
          <w:ilvl w:val="0"/>
          <w:numId w:val="2"/>
        </w:numPr>
        <w:spacing w:after="60"/>
      </w:pPr>
      <w:r>
        <w:rPr>
          <w:rFonts w:ascii="Arial" w:cs="Arial" w:eastAsia="Arial" w:hAnsi="Arial"/>
          <w:color w:val="2C3E50"/>
          <w:sz w:val="22"/>
          <w:szCs w:val="22"/>
        </w:rPr>
        <w:t xml:space="preserve">La vérification peut être progressive : chaque action validée consolide une part de la décote</w:t>
      </w:r>
    </w:p>
    <w:p>
      <w:pPr>
        <w:spacing w:after="100"/>
      </w:pPr>
    </w:p>
    <w:p>
      <w:r>
        <w:br w:type="page"/>
      </w:r>
    </w:p>
    <w:p>
      <w:pPr>
        <w:pStyle w:val="Heading1"/>
      </w:pPr>
      <w:r>
        <w:t xml:space="preserve">6. Parcours utilisateur</w:t>
      </w:r>
    </w:p>
    <w:p>
      <w:pPr>
        <w:spacing w:after="60"/>
      </w:pPr>
    </w:p>
    <w:p>
      <w:pPr>
        <w:pStyle w:val="Heading2"/>
      </w:pPr>
      <w:r>
        <w:t xml:space="preserve">6.1 Flux principal</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526"/>
        <w:gridCol w:w="3000"/>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Étape</w:t>
            </w:r>
          </w:p>
        </w:tc>
        <w:tc>
          <w:tcPr>
            <w:tcW w:type="dxa" w:w="3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Sortie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Identification</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Saisie des informations générales de l’entreprise : nom, NACE, effectif, CA, localisation, sites.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Fiche entreprise créée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Questionnaire risques</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Parcours des 6 catégories de risque avec questions adaptées au secteur. Choix binaires et sélections simples.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Réponses stockées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3</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Scoring</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Calcul automatique des scores par catégorie et du score global. Affichage du radar de risque.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Scores + niveau de risque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4</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Plan de prévention</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Génération automatique des actions de prévention. Le courtier peut ajouter, supprimer ou modifier les actions.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Plan de prévention validé</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Double offre</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Calcul de la prime Offre A et Offre B. Affichage comparatif côte à côte.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Offre A / Offre B générées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6</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Rapport PDF</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Génération du rapport de diagnostic complet avec scoring, radar, plan de prévention et comparaison des offres.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PDF téléchargeable</w:t>
            </w:r>
          </w:p>
        </w:tc>
      </w:tr>
    </w:tbl>
    <w:p>
      <w:pPr>
        <w:spacing w:after="120"/>
      </w:pPr>
    </w:p>
    <w:p>
      <w:pPr>
        <w:pStyle w:val="Heading2"/>
      </w:pPr>
      <w:r>
        <w:t xml:space="preserve">6.2 Questionnaire de collecte (Étape 2)</w:t>
      </w:r>
    </w:p>
    <w:p>
      <w:pPr>
        <w:spacing w:after="120"/>
      </w:pPr>
      <w:r>
        <w:rPr>
          <w:rFonts w:ascii="Arial" w:cs="Arial" w:eastAsia="Arial" w:hAnsi="Arial"/>
          <w:color w:val="2C3E50"/>
          <w:sz w:val="22"/>
          <w:szCs w:val="22"/>
        </w:rPr>
        <w:t xml:space="preserve">Le questionnaire est structuré par catégorie de risque. Le système adapte les questions affichées selon le code NACE : les catégories non pertinentes sont masquées ou simplifiées.</w:t>
      </w:r>
    </w:p>
    <w:p>
      <w:pPr>
        <w:spacing w:after="30"/>
      </w:pPr>
    </w:p>
    <w:p>
      <w:pPr>
        <w:spacing w:after="120"/>
      </w:pPr>
      <w:r>
        <w:rPr>
          <w:rFonts w:ascii="Arial" w:cs="Arial" w:eastAsia="Arial" w:hAnsi="Arial"/>
          <w:color w:val="2C3E50"/>
          <w:sz w:val="22"/>
          <w:szCs w:val="22"/>
        </w:rPr>
        <w:t xml:space="preserve">Principes de conception du questionnaire :</w:t>
      </w:r>
    </w:p>
    <w:p>
      <w:pPr>
        <w:pStyle w:val="ListParagraph"/>
        <w:numPr>
          <w:ilvl w:val="0"/>
          <w:numId w:val="2"/>
        </w:numPr>
        <w:spacing w:after="60"/>
      </w:pPr>
      <w:r>
        <w:rPr>
          <w:rFonts w:ascii="Arial" w:cs="Arial" w:eastAsia="Arial" w:hAnsi="Arial"/>
          <w:color w:val="2C3E50"/>
          <w:sz w:val="22"/>
          <w:szCs w:val="22"/>
        </w:rPr>
        <w:t xml:space="preserve">Maximum 30 questions au total pour le MVP</w:t>
      </w:r>
    </w:p>
    <w:p>
      <w:pPr>
        <w:pStyle w:val="ListParagraph"/>
        <w:numPr>
          <w:ilvl w:val="0"/>
          <w:numId w:val="2"/>
        </w:numPr>
        <w:spacing w:after="60"/>
      </w:pPr>
      <w:r>
        <w:rPr>
          <w:rFonts w:ascii="Arial" w:cs="Arial" w:eastAsia="Arial" w:hAnsi="Arial"/>
          <w:color w:val="2C3E50"/>
          <w:sz w:val="22"/>
          <w:szCs w:val="22"/>
        </w:rPr>
        <w:t xml:space="preserve">Privilégier les choix binaires (oui/non) et les sélections simples (3-4 options)</w:t>
      </w:r>
    </w:p>
    <w:p>
      <w:pPr>
        <w:pStyle w:val="ListParagraph"/>
        <w:numPr>
          <w:ilvl w:val="0"/>
          <w:numId w:val="2"/>
        </w:numPr>
        <w:spacing w:after="60"/>
      </w:pPr>
      <w:r>
        <w:rPr>
          <w:rFonts w:ascii="Arial" w:cs="Arial" w:eastAsia="Arial" w:hAnsi="Arial"/>
          <w:color w:val="2C3E50"/>
          <w:sz w:val="22"/>
          <w:szCs w:val="22"/>
        </w:rPr>
        <w:t xml:space="preserve">Regrouper les questions par catégorie avec un indicateur de progression</w:t>
      </w:r>
    </w:p>
    <w:p>
      <w:pPr>
        <w:pStyle w:val="ListParagraph"/>
        <w:numPr>
          <w:ilvl w:val="0"/>
          <w:numId w:val="2"/>
        </w:numPr>
        <w:spacing w:after="60"/>
      </w:pPr>
      <w:r>
        <w:rPr>
          <w:rFonts w:ascii="Arial" w:cs="Arial" w:eastAsia="Arial" w:hAnsi="Arial"/>
          <w:color w:val="2C3E50"/>
          <w:sz w:val="22"/>
          <w:szCs w:val="22"/>
        </w:rPr>
        <w:t xml:space="preserve">Permettre la sauvegarde intermédiaire (reprise du diagnostic ultérieurement)</w:t>
      </w:r>
    </w:p>
    <w:p>
      <w:pPr>
        <w:pStyle w:val="ListParagraph"/>
        <w:numPr>
          <w:ilvl w:val="0"/>
          <w:numId w:val="2"/>
        </w:numPr>
        <w:spacing w:after="60"/>
      </w:pPr>
      <w:r>
        <w:rPr>
          <w:rFonts w:ascii="Arial" w:cs="Arial" w:eastAsia="Arial" w:hAnsi="Arial"/>
          <w:color w:val="2C3E50"/>
          <w:sz w:val="22"/>
          <w:szCs w:val="22"/>
        </w:rPr>
        <w:t xml:space="preserve">Tooltip explicatif sur chaque question pour guider le courtier</w:t>
      </w:r>
    </w:p>
    <w:p>
      <w:pPr>
        <w:spacing w:after="120"/>
      </w:pPr>
    </w:p>
    <w:p>
      <w:pPr>
        <w:pStyle w:val="Heading2"/>
      </w:pPr>
      <w:r>
        <w:t xml:space="preserve">6.3 Restitution visuelle (Étape 3)</w:t>
      </w:r>
    </w:p>
    <w:p>
      <w:pPr>
        <w:spacing w:after="120"/>
      </w:pPr>
      <w:r>
        <w:rPr>
          <w:rFonts w:ascii="Arial" w:cs="Arial" w:eastAsia="Arial" w:hAnsi="Arial"/>
          <w:color w:val="2C3E50"/>
          <w:sz w:val="22"/>
          <w:szCs w:val="22"/>
        </w:rPr>
        <w:t xml:space="preserve">Le résultat du scoring est affiché sous forme d’un radar (spider chart) à 6 axes correspondant aux 6 catégories de risque. Chaque axe affiche le score de la catégorie.</w:t>
      </w:r>
    </w:p>
    <w:p>
      <w:pPr>
        <w:spacing w:after="30"/>
      </w:pPr>
    </w:p>
    <w:p>
      <w:pPr>
        <w:pStyle w:val="ListParagraph"/>
        <w:numPr>
          <w:ilvl w:val="0"/>
          <w:numId w:val="2"/>
        </w:numPr>
        <w:spacing w:after="60"/>
      </w:pPr>
      <w:r>
        <w:rPr>
          <w:rFonts w:ascii="Arial" w:cs="Arial" w:eastAsia="Arial" w:hAnsi="Arial"/>
          <w:color w:val="2C3E50"/>
          <w:sz w:val="22"/>
          <w:szCs w:val="22"/>
        </w:rPr>
        <w:t xml:space="preserve">Le radar supporte deux calques superposés : score actuel (rouge) et score amélioré (vert)</w:t>
      </w:r>
    </w:p>
    <w:p>
      <w:pPr>
        <w:pStyle w:val="ListParagraph"/>
        <w:numPr>
          <w:ilvl w:val="0"/>
          <w:numId w:val="2"/>
        </w:numPr>
        <w:spacing w:after="60"/>
      </w:pPr>
      <w:r>
        <w:rPr>
          <w:rFonts w:ascii="Arial" w:cs="Arial" w:eastAsia="Arial" w:hAnsi="Arial"/>
          <w:color w:val="2C3E50"/>
          <w:sz w:val="22"/>
          <w:szCs w:val="22"/>
        </w:rPr>
        <w:t xml:space="preserve">Un panneau latéral détaille le score de chaque catégorie avec les facteurs contributifs</w:t>
      </w:r>
    </w:p>
    <w:p>
      <w:pPr>
        <w:pStyle w:val="ListParagraph"/>
        <w:numPr>
          <w:ilvl w:val="0"/>
          <w:numId w:val="2"/>
        </w:numPr>
        <w:spacing w:after="60"/>
      </w:pPr>
      <w:r>
        <w:rPr>
          <w:rFonts w:ascii="Arial" w:cs="Arial" w:eastAsia="Arial" w:hAnsi="Arial"/>
          <w:color w:val="2C3E50"/>
          <w:sz w:val="22"/>
          <w:szCs w:val="22"/>
        </w:rPr>
        <w:t xml:space="preserve">Le score global est affiché en grand avec le badge de niveau (Faible / Modéré / Élevé / Critique)</w:t>
      </w:r>
    </w:p>
    <w:p>
      <w:pPr>
        <w:spacing w:after="100"/>
      </w:pPr>
    </w:p>
    <w:p>
      <w:r>
        <w:br w:type="page"/>
      </w:r>
    </w:p>
    <w:p>
      <w:pPr>
        <w:pStyle w:val="Heading1"/>
      </w:pPr>
      <w:r>
        <w:t xml:space="preserve">7. Rapport PDF</w:t>
      </w:r>
    </w:p>
    <w:p>
      <w:pPr>
        <w:spacing w:after="60"/>
      </w:pPr>
    </w:p>
    <w:p>
      <w:pPr>
        <w:pStyle w:val="Heading2"/>
      </w:pPr>
      <w:r>
        <w:t xml:space="preserve">7.1 Structure du rapport</w:t>
      </w:r>
    </w:p>
    <w:p>
      <w:pPr>
        <w:spacing w:after="120"/>
      </w:pPr>
      <w:r>
        <w:rPr>
          <w:rFonts w:ascii="Arial" w:cs="Arial" w:eastAsia="Arial" w:hAnsi="Arial"/>
          <w:color w:val="2C3E50"/>
          <w:sz w:val="22"/>
          <w:szCs w:val="22"/>
        </w:rPr>
        <w:t xml:space="preserve">Le rapport de diagnostic est un document de 6 à 10 pages généré automatiquement, destiné à être présenté au client PME par le courtier.</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26"/>
      </w:tblGrid>
      <w:tr>
        <w:tc>
          <w:tcPr>
            <w:tcW w:type="dxa" w:w="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6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Page de garde</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Logo, nom de l’entreprise, date du diagnostic, nom du courtier</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Synthèse exécutive</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Score global, niveau de risque, phrase de synthèse, recommandation principale</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3</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Profil de l’entreprise</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Données clés : activité, effectif, CA, localisation, sites</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4</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Radar de risque</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Graphique radar avec les 6 catégories, score par catégorie et code couleur</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Détail par catégorie</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Pour chaque catégorie : score, facteurs contributifs, points d’attention</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6</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Plan de prévention</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Liste des actions recommandées avec échéances, coûts estimés et impact scoring</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7</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Comparaison des offres</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Tableau Offre A vs Offre B : primes, conditions, économies, radar comparatif</w:t>
            </w:r>
          </w:p>
        </w:tc>
      </w:tr>
      <w:tr>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8</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Annexe méthodologique</w:t>
            </w:r>
          </w:p>
        </w:tc>
        <w:tc>
          <w:tcPr>
            <w:tcW w:type="dxa" w:w="6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Explication simplifiée de la méthodologie de scoring (transparence)</w:t>
            </w:r>
          </w:p>
        </w:tc>
      </w:tr>
    </w:tbl>
    <w:p>
      <w:pPr>
        <w:spacing w:after="60"/>
      </w:pPr>
    </w:p>
    <w:p>
      <w:pPr>
        <w:pStyle w:val="Heading2"/>
      </w:pPr>
      <w:r>
        <w:t xml:space="preserve">7.2 Ton et design</w:t>
      </w:r>
    </w:p>
    <w:p>
      <w:pPr>
        <w:pStyle w:val="ListParagraph"/>
        <w:numPr>
          <w:ilvl w:val="0"/>
          <w:numId w:val="2"/>
        </w:numPr>
        <w:spacing w:after="60"/>
      </w:pPr>
      <w:r>
        <w:rPr>
          <w:rFonts w:ascii="Arial" w:cs="Arial" w:eastAsia="Arial" w:hAnsi="Arial"/>
          <w:color w:val="2C3E50"/>
          <w:sz w:val="22"/>
          <w:szCs w:val="22"/>
        </w:rPr>
        <w:t xml:space="preserve">Ton professionnel mais accessible, adapté à un dirigeant de PME</w:t>
      </w:r>
    </w:p>
    <w:p>
      <w:pPr>
        <w:pStyle w:val="ListParagraph"/>
        <w:numPr>
          <w:ilvl w:val="0"/>
          <w:numId w:val="2"/>
        </w:numPr>
        <w:spacing w:after="60"/>
      </w:pPr>
      <w:r>
        <w:rPr>
          <w:rFonts w:ascii="Arial" w:cs="Arial" w:eastAsia="Arial" w:hAnsi="Arial"/>
          <w:color w:val="2C3E50"/>
          <w:sz w:val="22"/>
          <w:szCs w:val="22"/>
        </w:rPr>
        <w:t xml:space="preserve">Pas de jargon actuariel, privilégier les explications visuelles</w:t>
      </w:r>
    </w:p>
    <w:p>
      <w:pPr>
        <w:pStyle w:val="ListParagraph"/>
        <w:numPr>
          <w:ilvl w:val="0"/>
          <w:numId w:val="2"/>
        </w:numPr>
        <w:spacing w:after="60"/>
      </w:pPr>
      <w:r>
        <w:rPr>
          <w:rFonts w:ascii="Arial" w:cs="Arial" w:eastAsia="Arial" w:hAnsi="Arial"/>
          <w:color w:val="2C3E50"/>
          <w:sz w:val="22"/>
          <w:szCs w:val="22"/>
        </w:rPr>
        <w:t xml:space="preserve">Code couleur cohérent avec l’application (vert / orange / rouge)</w:t>
      </w:r>
    </w:p>
    <w:p>
      <w:pPr>
        <w:pStyle w:val="ListParagraph"/>
        <w:numPr>
          <w:ilvl w:val="0"/>
          <w:numId w:val="2"/>
        </w:numPr>
        <w:spacing w:after="60"/>
      </w:pPr>
      <w:r>
        <w:rPr>
          <w:rFonts w:ascii="Arial" w:cs="Arial" w:eastAsia="Arial" w:hAnsi="Arial"/>
          <w:color w:val="2C3E50"/>
          <w:sz w:val="22"/>
          <w:szCs w:val="22"/>
        </w:rPr>
        <w:t xml:space="preserve">Le radar comparatif (actuel vs amélioré) est l’élément visuel central du rapport</w:t>
      </w:r>
    </w:p>
    <w:p>
      <w:pPr>
        <w:spacing w:after="100"/>
      </w:pPr>
    </w:p>
    <w:p>
      <w:r>
        <w:br w:type="page"/>
      </w:r>
    </w:p>
    <w:p>
      <w:pPr>
        <w:pStyle w:val="Heading1"/>
      </w:pPr>
      <w:r>
        <w:t xml:space="preserve">8. Architecture technique</w:t>
      </w:r>
    </w:p>
    <w:p>
      <w:pPr>
        <w:spacing w:after="60"/>
      </w:pPr>
    </w:p>
    <w:p>
      <w:pPr>
        <w:pStyle w:val="Heading2"/>
      </w:pPr>
      <w:r>
        <w:t xml:space="preserve">8.1 Stack technologique</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Couche</w:t>
            </w:r>
          </w:p>
        </w:tc>
        <w:tc>
          <w:tcPr>
            <w:tcW w:type="dxa" w:w="3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c>
          <w:tcPr>
            <w:tcW w:type="dxa" w:w="3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Frontend</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React (Vite ou Next.js) + TailwindCSS</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Composants réactifs, prototypage rapide, écosystème riche pour la data visualisation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Visualisation</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Recharts ou D3.js</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Radar chart pour le scoring, graphiques comparatifs Offre A / B</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Backend</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Supabase (PostgreSQL + Auth + Storage + Edge Functions)</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Backend-as-a-service, pas de serveur à gérer, RLS natif, temps réel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Authentification</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Supabase Auth</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SSO, magic link, gestion des rôles (courtier / souscripteur / admin)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Stockage PDF</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Supabase Storage</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Stockage des rapports générés, accès sécurisé par RLS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Génération PDF</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Supabase Edge Function + @react-pdf/renderer ou jsPDF</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Génération côté serveur déclenchée par l’utilisateur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Hébergement</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Vercel (frontend) + Supabase Cloud (backend)</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Déploiement continu, scaling automatique</w:t>
            </w:r>
          </w:p>
        </w:tc>
      </w:tr>
    </w:tbl>
    <w:p>
      <w:pPr>
        <w:spacing w:after="120"/>
      </w:pPr>
    </w:p>
    <w:p>
      <w:pPr>
        <w:pStyle w:val="Heading2"/>
      </w:pPr>
      <w:r>
        <w:t xml:space="preserve">8.2 Modèle de données Supabase</w:t>
      </w:r>
    </w:p>
    <w:p>
      <w:pPr>
        <w:spacing w:after="30"/>
      </w:pPr>
    </w:p>
    <w:p>
      <w:pPr>
        <w:pStyle w:val="Heading3"/>
      </w:pPr>
      <w:r>
        <w:t xml:space="preserve">Tables principales</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34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Colonnes clés</w:t>
            </w:r>
          </w:p>
        </w:tc>
        <w:tc>
          <w:tcPr>
            <w:tcW w:type="dxa" w:w="34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companies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id, name, nace_code, sector, employees, revenue, city, country, created_by</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Fiche entreprise. Liée à l’utilisateur qui l’a créée.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diagnostics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id, company_id, status, global_score, risk_level, created_at, updated_at</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Un diagnostic par analyse. Statut : draft / completed / archived.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category_scores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id, diagnostic_id, category, score, risk_level, weight</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Score par catégorie de risque. 6 lignes par diagnostic.</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risk_answers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id, diagnostic_id, category, question_key, answer_value, factor_score</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Réponses au questionnaire avec score facteur calculé.</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prevention_plans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id, diagnostic_id, status, total_discount_pct</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Plan de prévention associé au diagnostic.</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prevention_actions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id, plan_id, category, action_label, score_reduction, deadline_months, estimated_cost, status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Actions individuelles de prévention.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offers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id, diagnostic_id, type (A/B), premium, score_used, conditions, created_at</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Offre A et Offre B liées au diagnostic.</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reports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id, diagnostic_id, storage_path, generated_at</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Référence au PDF généré, stocké dans Supabase Storage.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sector_profiles</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id, sector, category_weights (jsonb)</w:t>
            </w:r>
          </w:p>
        </w:tc>
        <w:tc>
          <w:tcPr>
            <w:tcW w:type="dxa" w:w="34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Pondérations par catégorie selon le secteur. Table de référence.</w:t>
            </w:r>
          </w:p>
        </w:tc>
      </w:tr>
    </w:tbl>
    <w:p>
      <w:pPr>
        <w:spacing w:after="120"/>
      </w:pPr>
    </w:p>
    <w:p>
      <w:pPr>
        <w:pStyle w:val="Heading2"/>
      </w:pPr>
      <w:r>
        <w:t xml:space="preserve">8.3 Row Level Security (RLS)</w:t>
      </w:r>
    </w:p>
    <w:p>
      <w:pPr>
        <w:spacing w:after="120"/>
      </w:pPr>
      <w:r>
        <w:rPr>
          <w:rFonts w:ascii="Arial" w:cs="Arial" w:eastAsia="Arial" w:hAnsi="Arial"/>
          <w:color w:val="2C3E50"/>
          <w:sz w:val="22"/>
          <w:szCs w:val="22"/>
        </w:rPr>
        <w:t xml:space="preserve">Supabase RLS garantit l’isolation des données entre utilisateurs.</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3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Accès</w:t>
            </w:r>
          </w:p>
        </w:tc>
        <w:tc>
          <w:tcPr>
            <w:tcW w:type="dxa" w:w="326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Policy RLS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Courtier</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Ses propres diagnostics et entreprises uniquement</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companies.created_by = auth.uid()</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Souscripteur</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Tous les diagnostics (lecture), modification du scoring et des offres</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role = ’underwriter’ sur le profil utilisateur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Admin</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Accès total, gestion des profils sectoriels et des paramètres</w:t>
            </w:r>
          </w:p>
        </w:tc>
        <w:tc>
          <w:tcPr>
            <w:tcW w:type="dxa" w:w="326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role = ’admin’</w:t>
            </w:r>
          </w:p>
        </w:tc>
      </w:tr>
    </w:tbl>
    <w:p>
      <w:pPr>
        <w:spacing w:after="120"/>
      </w:pPr>
    </w:p>
    <w:p>
      <w:pPr>
        <w:pStyle w:val="Heading2"/>
      </w:pPr>
      <w:r>
        <w:t xml:space="preserve">8.4 Edge Functions</w:t>
      </w:r>
    </w:p>
    <w:p>
      <w:pPr>
        <w:spacing w:after="120"/>
      </w:pPr>
      <w:r>
        <w:rPr>
          <w:rFonts w:ascii="Arial" w:cs="Arial" w:eastAsia="Arial" w:hAnsi="Arial"/>
          <w:color w:val="2C3E50"/>
          <w:sz w:val="22"/>
          <w:szCs w:val="22"/>
        </w:rPr>
        <w:t xml:space="preserve">Trois Edge Functions Supabase couvrent la logique métier côté serveur.</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Fonction</w:t>
            </w:r>
          </w:p>
        </w:tc>
        <w:tc>
          <w:tcPr>
            <w:tcW w:type="dxa" w:w="4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Rôle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Déclencheur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compute-scoring</w:t>
            </w:r>
          </w:p>
        </w:tc>
        <w:tc>
          <w:tcPr>
            <w:tcW w:type="dxa" w:w="4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Calcule les scores par catégorie et le score global à partir des réponses. Applique les pondérations sectorielles.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Appel API après complétion du questionnaire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generate-prevention</w:t>
            </w:r>
          </w:p>
        </w:tc>
        <w:tc>
          <w:tcPr>
            <w:tcW w:type="dxa" w:w="4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Génère le plan de prévention et calcule le score amélioré et la décote. Crée les deux offres.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Appel API après validation du scoring</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generate-pdf</w:t>
            </w:r>
          </w:p>
        </w:tc>
        <w:tc>
          <w:tcPr>
            <w:tcW w:type="dxa" w:w="4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Génère le rapport PDF complet, le stocke dans Supabase Storage et retourne l’URL de téléchargement.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Appel API déclenché par l’utilisateur</w:t>
            </w:r>
          </w:p>
        </w:tc>
      </w:tr>
    </w:tbl>
    <w:p>
      <w:pPr>
        <w:spacing w:after="120"/>
      </w:pPr>
    </w:p>
    <w:p>
      <w:pPr>
        <w:pStyle w:val="Heading2"/>
      </w:pPr>
      <w:r>
        <w:t xml:space="preserve">8.5 Schéma d’architecture</w:t>
      </w:r>
    </w:p>
    <w:p>
      <w:pPr>
        <w:spacing w:after="120"/>
      </w:pPr>
      <w:r>
        <w:rPr>
          <w:rFonts w:ascii="Arial" w:cs="Arial" w:eastAsia="Arial" w:hAnsi="Arial"/>
          <w:color w:val="2C3E50"/>
          <w:sz w:val="22"/>
          <w:szCs w:val="22"/>
        </w:rPr>
        <w:t xml:space="preserve">Le flux technique suit la séquence suivante.</w:t>
      </w:r>
    </w:p>
    <w:p>
      <w:pPr>
        <w:spacing w:after="30"/>
      </w:pPr>
    </w:p>
    <w:p>
      <w:pPr>
        <w:pStyle w:val="ListParagraph"/>
        <w:numPr>
          <w:ilvl w:val="0"/>
          <w:numId w:val="3"/>
        </w:numPr>
        <w:spacing w:after="60"/>
      </w:pPr>
      <w:r>
        <w:rPr>
          <w:rFonts w:ascii="Arial" w:cs="Arial" w:eastAsia="Arial" w:hAnsi="Arial"/>
          <w:color w:val="2C3E50"/>
          <w:sz w:val="22"/>
          <w:szCs w:val="22"/>
        </w:rPr>
        <w:t xml:space="preserve">React App → Supabase Auth : authentification du courtier / souscripteur</w:t>
      </w:r>
    </w:p>
    <w:p>
      <w:pPr>
        <w:pStyle w:val="ListParagraph"/>
        <w:numPr>
          <w:ilvl w:val="0"/>
          <w:numId w:val="3"/>
        </w:numPr>
        <w:spacing w:after="60"/>
      </w:pPr>
      <w:r>
        <w:rPr>
          <w:rFonts w:ascii="Arial" w:cs="Arial" w:eastAsia="Arial" w:hAnsi="Arial"/>
          <w:color w:val="2C3E50"/>
          <w:sz w:val="22"/>
          <w:szCs w:val="22"/>
        </w:rPr>
        <w:t xml:space="preserve">React App → Supabase DB : CRUD sur companies, risk_answers (via client JS + RLS)</w:t>
      </w:r>
    </w:p>
    <w:p>
      <w:pPr>
        <w:pStyle w:val="ListParagraph"/>
        <w:numPr>
          <w:ilvl w:val="0"/>
          <w:numId w:val="3"/>
        </w:numPr>
        <w:spacing w:after="60"/>
      </w:pPr>
      <w:r>
        <w:rPr>
          <w:rFonts w:ascii="Arial" w:cs="Arial" w:eastAsia="Arial" w:hAnsi="Arial"/>
          <w:color w:val="2C3E50"/>
          <w:sz w:val="22"/>
          <w:szCs w:val="22"/>
        </w:rPr>
        <w:t xml:space="preserve">React App → Edge Function compute-scoring : déclenche le calcul de scoring</w:t>
      </w:r>
    </w:p>
    <w:p>
      <w:pPr>
        <w:pStyle w:val="ListParagraph"/>
        <w:numPr>
          <w:ilvl w:val="0"/>
          <w:numId w:val="3"/>
        </w:numPr>
        <w:spacing w:after="60"/>
      </w:pPr>
      <w:r>
        <w:rPr>
          <w:rFonts w:ascii="Arial" w:cs="Arial" w:eastAsia="Arial" w:hAnsi="Arial"/>
          <w:color w:val="2C3E50"/>
          <w:sz w:val="22"/>
          <w:szCs w:val="22"/>
        </w:rPr>
        <w:t xml:space="preserve">Edge Function → Supabase DB : écrit les scores dans category_scores et diagnostics</w:t>
      </w:r>
    </w:p>
    <w:p>
      <w:pPr>
        <w:pStyle w:val="ListParagraph"/>
        <w:numPr>
          <w:ilvl w:val="0"/>
          <w:numId w:val="3"/>
        </w:numPr>
        <w:spacing w:after="60"/>
      </w:pPr>
      <w:r>
        <w:rPr>
          <w:rFonts w:ascii="Arial" w:cs="Arial" w:eastAsia="Arial" w:hAnsi="Arial"/>
          <w:color w:val="2C3E50"/>
          <w:sz w:val="22"/>
          <w:szCs w:val="22"/>
        </w:rPr>
        <w:t xml:space="preserve">React App → Edge Function generate-prevention : génère le plan et les offres</w:t>
      </w:r>
    </w:p>
    <w:p>
      <w:pPr>
        <w:pStyle w:val="ListParagraph"/>
        <w:numPr>
          <w:ilvl w:val="0"/>
          <w:numId w:val="3"/>
        </w:numPr>
        <w:spacing w:after="60"/>
      </w:pPr>
      <w:r>
        <w:rPr>
          <w:rFonts w:ascii="Arial" w:cs="Arial" w:eastAsia="Arial" w:hAnsi="Arial"/>
          <w:color w:val="2C3E50"/>
          <w:sz w:val="22"/>
          <w:szCs w:val="22"/>
        </w:rPr>
        <w:t xml:space="preserve">Edge Function → Supabase DB : écrit prevention_plans, prevention_actions, offers</w:t>
      </w:r>
    </w:p>
    <w:p>
      <w:pPr>
        <w:pStyle w:val="ListParagraph"/>
        <w:numPr>
          <w:ilvl w:val="0"/>
          <w:numId w:val="3"/>
        </w:numPr>
        <w:spacing w:after="60"/>
      </w:pPr>
      <w:r>
        <w:rPr>
          <w:rFonts w:ascii="Arial" w:cs="Arial" w:eastAsia="Arial" w:hAnsi="Arial"/>
          <w:color w:val="2C3E50"/>
          <w:sz w:val="22"/>
          <w:szCs w:val="22"/>
        </w:rPr>
        <w:t xml:space="preserve">React App → Edge Function generate-pdf : génère le PDF</w:t>
      </w:r>
    </w:p>
    <w:p>
      <w:pPr>
        <w:pStyle w:val="ListParagraph"/>
        <w:numPr>
          <w:ilvl w:val="0"/>
          <w:numId w:val="3"/>
        </w:numPr>
        <w:spacing w:after="60"/>
      </w:pPr>
      <w:r>
        <w:rPr>
          <w:rFonts w:ascii="Arial" w:cs="Arial" w:eastAsia="Arial" w:hAnsi="Arial"/>
          <w:color w:val="2C3E50"/>
          <w:sz w:val="22"/>
          <w:szCs w:val="22"/>
        </w:rPr>
        <w:t xml:space="preserve">Edge Function → Supabase Storage : stocke le PDF, retourne l’URL signée</w:t>
      </w:r>
    </w:p>
    <w:p>
      <w:pPr>
        <w:spacing w:after="100"/>
      </w:pPr>
    </w:p>
    <w:p>
      <w:r>
        <w:br w:type="page"/>
      </w:r>
    </w:p>
    <w:p>
      <w:pPr>
        <w:pStyle w:val="Heading1"/>
      </w:pPr>
      <w:r>
        <w:t xml:space="preserve">9. Métriques de succès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13"/>
        <w:gridCol w:w="2513"/>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Métrique</w:t>
            </w:r>
          </w:p>
        </w:tc>
        <w:tc>
          <w:tcPr>
            <w:tcW w:type="dxa" w:w="3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Définition</w:t>
            </w:r>
          </w:p>
        </w:tc>
        <w:tc>
          <w:tcPr>
            <w:tcW w:type="dxa" w:w="2513"/>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Cible MVP</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Taux de complétion diagnostic</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 de diagnostics démarrés qui atteignent le statut ‘completed’</w:t>
            </w:r>
          </w:p>
        </w:tc>
        <w:tc>
          <w:tcPr>
            <w:tcW w:type="dxa" w:w="2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&gt; 75%</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Temps moyen de diagnostic</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Durée moyenne entre la création et la complétion d’un diagnostic</w:t>
            </w:r>
          </w:p>
        </w:tc>
        <w:tc>
          <w:tcPr>
            <w:tcW w:type="dxa" w:w="2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&lt; 20 minutes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Taux de choix Offre B</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 de clients choisissant l’offre avec plan de prévention</w:t>
            </w:r>
          </w:p>
        </w:tc>
        <w:tc>
          <w:tcPr>
            <w:tcW w:type="dxa" w:w="2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&gt; 40%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Taux de génération PDF</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 de diagnostics aboutissant à la génération d’un rapport</w:t>
            </w:r>
          </w:p>
        </w:tc>
        <w:tc>
          <w:tcPr>
            <w:tcW w:type="dxa" w:w="2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&gt; 80%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Score NPS courtier</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Satisfaction des courtiers utilisant l’outil</w:t>
            </w:r>
          </w:p>
        </w:tc>
        <w:tc>
          <w:tcPr>
            <w:tcW w:type="dxa" w:w="2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&gt; 7/10</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Décote moyenne Offre B</w:t>
            </w:r>
          </w:p>
        </w:tc>
        <w:tc>
          <w:tcPr>
            <w:tcW w:type="dxa" w:w="3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Pourcentage moyen de réduction de prime des Offres B générées</w:t>
            </w:r>
          </w:p>
        </w:tc>
        <w:tc>
          <w:tcPr>
            <w:tcW w:type="dxa" w:w="2513"/>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12 – 18%</w:t>
            </w:r>
          </w:p>
        </w:tc>
      </w:tr>
    </w:tbl>
    <w:p>
      <w:pPr>
        <w:spacing w:after="100"/>
      </w:pPr>
    </w:p>
    <w:p>
      <w:r>
        <w:br w:type="page"/>
      </w:r>
    </w:p>
    <w:p>
      <w:pPr>
        <w:pStyle w:val="Heading1"/>
      </w:pPr>
      <w:r>
        <w:t xml:space="preserve">10. Périmètre et roadmap</w:t>
      </w:r>
    </w:p>
    <w:p>
      <w:pPr>
        <w:spacing w:after="60"/>
      </w:pPr>
    </w:p>
    <w:p>
      <w:pPr>
        <w:pStyle w:val="Heading2"/>
      </w:pPr>
      <w:r>
        <w:t xml:space="preserve">10.1 Dans le périmètre MVP</w:t>
      </w:r>
    </w:p>
    <w:p>
      <w:pPr>
        <w:pStyle w:val="ListParagraph"/>
        <w:numPr>
          <w:ilvl w:val="0"/>
          <w:numId w:val="2"/>
        </w:numPr>
        <w:spacing w:after="60"/>
      </w:pPr>
      <w:r>
        <w:rPr>
          <w:rFonts w:ascii="Arial" w:cs="Arial" w:eastAsia="Arial" w:hAnsi="Arial"/>
          <w:color w:val="2C3E50"/>
          <w:sz w:val="22"/>
          <w:szCs w:val="22"/>
        </w:rPr>
        <w:t xml:space="preserve">Fiche entreprise et identification sectorielle (code NACE)</w:t>
      </w:r>
    </w:p>
    <w:p>
      <w:pPr>
        <w:pStyle w:val="ListParagraph"/>
        <w:numPr>
          <w:ilvl w:val="0"/>
          <w:numId w:val="2"/>
        </w:numPr>
        <w:spacing w:after="60"/>
      </w:pPr>
      <w:r>
        <w:rPr>
          <w:rFonts w:ascii="Arial" w:cs="Arial" w:eastAsia="Arial" w:hAnsi="Arial"/>
          <w:color w:val="2C3E50"/>
          <w:sz w:val="22"/>
          <w:szCs w:val="22"/>
        </w:rPr>
        <w:t xml:space="preserve">Questionnaire de risque structuré (6 catégories, max 30 questions)</w:t>
      </w:r>
    </w:p>
    <w:p>
      <w:pPr>
        <w:pStyle w:val="ListParagraph"/>
        <w:numPr>
          <w:ilvl w:val="0"/>
          <w:numId w:val="2"/>
        </w:numPr>
        <w:spacing w:after="60"/>
      </w:pPr>
      <w:r>
        <w:rPr>
          <w:rFonts w:ascii="Arial" w:cs="Arial" w:eastAsia="Arial" w:hAnsi="Arial"/>
          <w:color w:val="2C3E50"/>
          <w:sz w:val="22"/>
          <w:szCs w:val="22"/>
        </w:rPr>
        <w:t xml:space="preserve">Moteur de scoring par catégorie et global avec pondérations sectorielles</w:t>
      </w:r>
    </w:p>
    <w:p>
      <w:pPr>
        <w:pStyle w:val="ListParagraph"/>
        <w:numPr>
          <w:ilvl w:val="0"/>
          <w:numId w:val="2"/>
        </w:numPr>
        <w:spacing w:after="60"/>
      </w:pPr>
      <w:r>
        <w:rPr>
          <w:rFonts w:ascii="Arial" w:cs="Arial" w:eastAsia="Arial" w:hAnsi="Arial"/>
          <w:color w:val="2C3E50"/>
          <w:sz w:val="22"/>
          <w:szCs w:val="22"/>
        </w:rPr>
        <w:t xml:space="preserve">Génération automatique du plan de prévention</w:t>
      </w:r>
    </w:p>
    <w:p>
      <w:pPr>
        <w:pStyle w:val="ListParagraph"/>
        <w:numPr>
          <w:ilvl w:val="0"/>
          <w:numId w:val="2"/>
        </w:numPr>
        <w:spacing w:after="60"/>
      </w:pPr>
      <w:r>
        <w:rPr>
          <w:rFonts w:ascii="Arial" w:cs="Arial" w:eastAsia="Arial" w:hAnsi="Arial"/>
          <w:color w:val="2C3E50"/>
          <w:sz w:val="22"/>
          <w:szCs w:val="22"/>
        </w:rPr>
        <w:t xml:space="preserve">Calcul de la double offre (Offre A / Offre B) avec décote prévention</w:t>
      </w:r>
    </w:p>
    <w:p>
      <w:pPr>
        <w:pStyle w:val="ListParagraph"/>
        <w:numPr>
          <w:ilvl w:val="0"/>
          <w:numId w:val="2"/>
        </w:numPr>
        <w:spacing w:after="60"/>
      </w:pPr>
      <w:r>
        <w:rPr>
          <w:rFonts w:ascii="Arial" w:cs="Arial" w:eastAsia="Arial" w:hAnsi="Arial"/>
          <w:color w:val="2C3E50"/>
          <w:sz w:val="22"/>
          <w:szCs w:val="22"/>
        </w:rPr>
        <w:t xml:space="preserve">Visualisation radar du scoring (actuel + amélioré)</w:t>
      </w:r>
    </w:p>
    <w:p>
      <w:pPr>
        <w:pStyle w:val="ListParagraph"/>
        <w:numPr>
          <w:ilvl w:val="0"/>
          <w:numId w:val="2"/>
        </w:numPr>
        <w:spacing w:after="60"/>
      </w:pPr>
      <w:r>
        <w:rPr>
          <w:rFonts w:ascii="Arial" w:cs="Arial" w:eastAsia="Arial" w:hAnsi="Arial"/>
          <w:color w:val="2C3E50"/>
          <w:sz w:val="22"/>
          <w:szCs w:val="22"/>
        </w:rPr>
        <w:t xml:space="preserve">Génération PDF du rapport de diagnostic</w:t>
      </w:r>
    </w:p>
    <w:p>
      <w:pPr>
        <w:pStyle w:val="ListParagraph"/>
        <w:numPr>
          <w:ilvl w:val="0"/>
          <w:numId w:val="2"/>
        </w:numPr>
        <w:spacing w:after="60"/>
      </w:pPr>
      <w:r>
        <w:rPr>
          <w:rFonts w:ascii="Arial" w:cs="Arial" w:eastAsia="Arial" w:hAnsi="Arial"/>
          <w:color w:val="2C3E50"/>
          <w:sz w:val="22"/>
          <w:szCs w:val="22"/>
        </w:rPr>
        <w:t xml:space="preserve">Authentification et gestion des rôles (courtier / souscripteur)</w:t>
      </w:r>
    </w:p>
    <w:p>
      <w:pPr>
        <w:pStyle w:val="ListParagraph"/>
        <w:numPr>
          <w:ilvl w:val="0"/>
          <w:numId w:val="2"/>
        </w:numPr>
        <w:spacing w:after="60"/>
      </w:pPr>
      <w:r>
        <w:rPr>
          <w:rFonts w:ascii="Arial" w:cs="Arial" w:eastAsia="Arial" w:hAnsi="Arial"/>
          <w:color w:val="2C3E50"/>
          <w:sz w:val="22"/>
          <w:szCs w:val="22"/>
        </w:rPr>
        <w:t xml:space="preserve">RLS Supabase pour l’isolation des données</w:t>
      </w:r>
    </w:p>
    <w:p>
      <w:pPr>
        <w:spacing w:after="120"/>
      </w:pPr>
    </w:p>
    <w:p>
      <w:pPr>
        <w:pStyle w:val="Heading2"/>
      </w:pPr>
      <w:r>
        <w:t xml:space="preserve">10.2 Hors périmètre MVP (vision cible)</w:t>
      </w:r>
    </w:p>
    <w:p>
      <w:pPr>
        <w:pStyle w:val="ListParagraph"/>
        <w:numPr>
          <w:ilvl w:val="0"/>
          <w:numId w:val="2"/>
        </w:numPr>
        <w:spacing w:after="60"/>
      </w:pPr>
      <w:r>
        <w:rPr>
          <w:rFonts w:ascii="Arial" w:cs="Arial" w:eastAsia="Arial" w:hAnsi="Arial"/>
          <w:color w:val="2C3E50"/>
          <w:sz w:val="22"/>
          <w:szCs w:val="22"/>
        </w:rPr>
        <w:t xml:space="preserve">Suivi de l’exécution du plan de prévention (validation des actions, réajustement prime)</w:t>
      </w:r>
    </w:p>
    <w:p>
      <w:pPr>
        <w:pStyle w:val="ListParagraph"/>
        <w:numPr>
          <w:ilvl w:val="0"/>
          <w:numId w:val="2"/>
        </w:numPr>
        <w:spacing w:after="60"/>
      </w:pPr>
      <w:r>
        <w:rPr>
          <w:rFonts w:ascii="Arial" w:cs="Arial" w:eastAsia="Arial" w:hAnsi="Arial"/>
          <w:color w:val="2C3E50"/>
          <w:sz w:val="22"/>
          <w:szCs w:val="22"/>
        </w:rPr>
        <w:t xml:space="preserve">Intégration avec le système de tarification et d’émission de polices</w:t>
      </w:r>
    </w:p>
    <w:p>
      <w:pPr>
        <w:pStyle w:val="ListParagraph"/>
        <w:numPr>
          <w:ilvl w:val="0"/>
          <w:numId w:val="2"/>
        </w:numPr>
        <w:spacing w:after="60"/>
      </w:pPr>
      <w:r>
        <w:rPr>
          <w:rFonts w:ascii="Arial" w:cs="Arial" w:eastAsia="Arial" w:hAnsi="Arial"/>
          <w:color w:val="2C3E50"/>
          <w:sz w:val="22"/>
          <w:szCs w:val="22"/>
        </w:rPr>
        <w:t xml:space="preserve">Historisation des diagnostics et suivi de l’évolution du risque dans le temps</w:t>
      </w:r>
    </w:p>
    <w:p>
      <w:pPr>
        <w:pStyle w:val="ListParagraph"/>
        <w:numPr>
          <w:ilvl w:val="0"/>
          <w:numId w:val="2"/>
        </w:numPr>
        <w:spacing w:after="60"/>
      </w:pPr>
      <w:r>
        <w:rPr>
          <w:rFonts w:ascii="Arial" w:cs="Arial" w:eastAsia="Arial" w:hAnsi="Arial"/>
          <w:color w:val="2C3E50"/>
          <w:sz w:val="22"/>
          <w:szCs w:val="22"/>
        </w:rPr>
        <w:t xml:space="preserve">Module d’override souscripteur avec workflow de validation</w:t>
      </w:r>
    </w:p>
    <w:p>
      <w:pPr>
        <w:pStyle w:val="ListParagraph"/>
        <w:numPr>
          <w:ilvl w:val="0"/>
          <w:numId w:val="2"/>
        </w:numPr>
        <w:spacing w:after="60"/>
      </w:pPr>
      <w:r>
        <w:rPr>
          <w:rFonts w:ascii="Arial" w:cs="Arial" w:eastAsia="Arial" w:hAnsi="Arial"/>
          <w:color w:val="2C3E50"/>
          <w:sz w:val="22"/>
          <w:szCs w:val="22"/>
        </w:rPr>
        <w:t xml:space="preserve">Enrichissement automatique des données entreprise (API registre du commerce, données financières)</w:t>
      </w:r>
    </w:p>
    <w:p>
      <w:pPr>
        <w:pStyle w:val="ListParagraph"/>
        <w:numPr>
          <w:ilvl w:val="0"/>
          <w:numId w:val="2"/>
        </w:numPr>
        <w:spacing w:after="60"/>
      </w:pPr>
      <w:r>
        <w:rPr>
          <w:rFonts w:ascii="Arial" w:cs="Arial" w:eastAsia="Arial" w:hAnsi="Arial"/>
          <w:color w:val="2C3E50"/>
          <w:sz w:val="22"/>
          <w:szCs w:val="22"/>
        </w:rPr>
        <w:t xml:space="preserve">Benchmarking sectoriel (comparaison du risque vs pairs du même secteur)</w:t>
      </w:r>
    </w:p>
    <w:p>
      <w:pPr>
        <w:pStyle w:val="ListParagraph"/>
        <w:numPr>
          <w:ilvl w:val="0"/>
          <w:numId w:val="2"/>
        </w:numPr>
        <w:spacing w:after="60"/>
      </w:pPr>
      <w:r>
        <w:rPr>
          <w:rFonts w:ascii="Arial" w:cs="Arial" w:eastAsia="Arial" w:hAnsi="Arial"/>
          <w:color w:val="2C3E50"/>
          <w:sz w:val="22"/>
          <w:szCs w:val="22"/>
        </w:rPr>
        <w:t xml:space="preserve">Application mobile pour la visite de risque sur site</w:t>
      </w:r>
    </w:p>
    <w:p>
      <w:pPr>
        <w:pStyle w:val="ListParagraph"/>
        <w:numPr>
          <w:ilvl w:val="0"/>
          <w:numId w:val="2"/>
        </w:numPr>
        <w:spacing w:after="60"/>
      </w:pPr>
      <w:r>
        <w:rPr>
          <w:rFonts w:ascii="Arial" w:cs="Arial" w:eastAsia="Arial" w:hAnsi="Arial"/>
          <w:color w:val="2C3E50"/>
          <w:sz w:val="22"/>
          <w:szCs w:val="22"/>
        </w:rPr>
        <w:t xml:space="preserve">IA conversationnelle pour assister le courtier pendant le questionnaire</w:t>
      </w:r>
    </w:p>
    <w:p>
      <w:pPr>
        <w:spacing w:after="120"/>
      </w:pPr>
    </w:p>
    <w:p>
      <w:pPr>
        <w:pStyle w:val="Heading2"/>
      </w:pPr>
      <w:r>
        <w:t xml:space="preserve">10.3 Jalons</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226"/>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Jalon</w:t>
            </w:r>
          </w:p>
        </w:tc>
        <w:tc>
          <w:tcPr>
            <w:tcW w:type="dxa" w:w="5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Contenu</w:t>
            </w:r>
          </w:p>
        </w:tc>
        <w:tc>
          <w:tcPr>
            <w:tcW w:type="dxa" w:w="22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Horizon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MVP</w:t>
            </w:r>
          </w:p>
        </w:tc>
        <w:tc>
          <w:tcPr>
            <w:tcW w:type="dxa" w:w="5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Questionnaire + scoring + double offre + radar + PDF. Stack React + Supabase.</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T3 2026</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V1.1</w:t>
            </w:r>
          </w:p>
        </w:tc>
        <w:tc>
          <w:tcPr>
            <w:tcW w:type="dxa" w:w="5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Suivi prévention + intégration tarification + enrichissement données entreprise</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T4 2026</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bCs/>
                <w:i w:val="false"/>
                <w:iCs w:val="false"/>
                <w:color w:val="2C3E50"/>
                <w:sz w:val="20"/>
                <w:szCs w:val="20"/>
              </w:rPr>
              <w:t xml:space="preserve">V2.0</w:t>
            </w:r>
          </w:p>
        </w:tc>
        <w:tc>
          <w:tcPr>
            <w:tcW w:type="dxa" w:w="53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Historisation + benchmarking sectoriel + module visite de risque + IA assistant</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S1 2027</w:t>
            </w:r>
          </w:p>
        </w:tc>
      </w:tr>
    </w:tbl>
    <w:p>
      <w:pPr>
        <w:spacing w:after="100"/>
      </w:pPr>
    </w:p>
    <w:p>
      <w:r>
        <w:br w:type="page"/>
      </w:r>
    </w:p>
    <w:p>
      <w:pPr>
        <w:pStyle w:val="Heading1"/>
      </w:pPr>
      <w:r>
        <w:t xml:space="preserve">11. Annexe – Questionnaire de risque détaillé</w:t>
      </w:r>
    </w:p>
    <w:p>
      <w:pPr>
        <w:spacing w:after="60"/>
      </w:pPr>
    </w:p>
    <w:p>
      <w:pPr>
        <w:spacing w:after="120"/>
      </w:pPr>
      <w:r>
        <w:rPr>
          <w:rFonts w:ascii="Arial" w:cs="Arial" w:eastAsia="Arial" w:hAnsi="Arial"/>
          <w:color w:val="2C3E50"/>
          <w:sz w:val="22"/>
          <w:szCs w:val="22"/>
        </w:rPr>
        <w:t xml:space="preserve">Le tableau ci-dessous détaille l’ensemble des questions MVP regroupées par catégorie.</w:t>
      </w:r>
    </w:p>
    <w:p>
      <w:pPr>
        <w:spacing w:after="30"/>
      </w:pPr>
    </w:p>
    <w:p>
      <w:pPr>
        <w:pStyle w:val="Heading3"/>
      </w:pPr>
      <w:r>
        <w:t xml:space="preserve">A. Incendie / Dommages aux biens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100"/>
        <w:gridCol w:w="302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3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scoring</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Type de construction du bâtiment principal</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Sélection (béton / mixte / bois)</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Bois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Système de détection incendie installé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 (oui / non)</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Non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3</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Stockage de matières inflammables ou dangereuses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 + sélection niveau</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Important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4</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Distance aux services d’incendie</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Sélection (&lt; 5km / 5-15 / &gt; 15)</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&gt; 15 km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5</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Sinistres incendie dans les 5 dernières années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Sélection (0 / 1-2 / 3+)</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3+ = score élevé</w:t>
            </w:r>
          </w:p>
        </w:tc>
      </w:tr>
    </w:tbl>
    <w:p>
      <w:pPr>
        <w:spacing w:after="60"/>
      </w:pPr>
    </w:p>
    <w:p>
      <w:pPr>
        <w:pStyle w:val="Heading3"/>
      </w:pPr>
      <w:r>
        <w:t xml:space="preserve">B. Responsabilité Civile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100"/>
        <w:gridCol w:w="302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3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scoring</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6</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L’entreprise a-t-elle une activité d’export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 = exposition accrue</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7</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Recours à la sous-traitance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 + niveau (%CA)</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&gt; 30% CA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8</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Réclamations RC dans les 3 dernières années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Sélection (0 / 1-2 / 3+)</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3+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9</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Le produit/service peut-il causer un dommage corporel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 = exposition maximale</w:t>
            </w:r>
          </w:p>
        </w:tc>
      </w:tr>
    </w:tbl>
    <w:p>
      <w:pPr>
        <w:spacing w:after="60"/>
      </w:pPr>
    </w:p>
    <w:p>
      <w:pPr>
        <w:pStyle w:val="Heading3"/>
      </w:pPr>
      <w:r>
        <w:t xml:space="preserve">C. Dépendance opérationnelle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100"/>
        <w:gridCol w:w="302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3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scoring</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10</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L’entreprise opère-t-elle sur un site unique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 = dépendance forte</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11</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Dépendance à un fournisseur principal (&gt; 50% achats)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 = dépendance forte</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12</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Un Plan de Continuité d’Activité (PCA) existe-t-il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Non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13</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Délai estimé de reprise d’activité après sinistre majeur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Sélection (&lt; 1 sem / 1-4 sem / &gt; 1 mois)</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&gt; 1 mois = critique</w:t>
            </w:r>
          </w:p>
        </w:tc>
      </w:tr>
    </w:tbl>
    <w:p>
      <w:pPr>
        <w:spacing w:after="60"/>
      </w:pPr>
    </w:p>
    <w:p>
      <w:pPr>
        <w:pStyle w:val="Heading3"/>
      </w:pPr>
      <w:r>
        <w:t xml:space="preserve">D. Équipements / Machines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100"/>
        <w:gridCol w:w="302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3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scoring</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14</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Âge moyen du parc machines/équipements</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Sélection (&lt; 5 ans / 5-10 / &gt; 10)</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&gt; 10 ans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15</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Contrat de maintenance préventive en place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Non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16</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Une panne d’équipement critique arrêterait-elle la production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 = exposition élevée</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17</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Valeur totale du parc équipement</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Sélection (tranches)</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&gt; 500K = exposition élevée</w:t>
            </w:r>
          </w:p>
        </w:tc>
      </w:tr>
    </w:tbl>
    <w:p>
      <w:pPr>
        <w:spacing w:after="60"/>
      </w:pPr>
    </w:p>
    <w:p>
      <w:pPr>
        <w:pStyle w:val="Heading3"/>
      </w:pPr>
      <w:r>
        <w:t xml:space="preserve">E. Cyber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100"/>
        <w:gridCol w:w="302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3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scoring</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18</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L’entreprise traite-t-elle des données personnelles sensibles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 = exposition forte</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19</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Sauvegardes automatiques et testées régulièrement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Non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20</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Formation cybersécurité des employés dans les 12 derniers mois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Non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21</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Politique de mots de passe et MFA en place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Non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22</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Incident cyber dans les 24 derniers mois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Oui = score élevé</w:t>
            </w:r>
          </w:p>
        </w:tc>
      </w:tr>
    </w:tbl>
    <w:p>
      <w:pPr>
        <w:spacing w:after="60"/>
      </w:pPr>
    </w:p>
    <w:p>
      <w:pPr>
        <w:pStyle w:val="Heading3"/>
      </w:pPr>
      <w:r>
        <w:t xml:space="preserve">F. Flotte / Véhicules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100"/>
        <w:gridCol w:w="3026"/>
      </w:tblGrid>
      <w:tr>
        <w:tc>
          <w:tcPr>
            <w:tcW w:type="dxa" w:w="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30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scoring</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23</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Nombre de véhicules d’entreprise</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Numérique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0 = catégorie désactivée</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24</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Type de flotte (VP / utilitaires / PL)</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Sélection multiple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PL = exposition plus élevée</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25</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Sinistralité flotte sur 3 ans</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Sélection (faible / moyenne / élevée)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Élevée = score élevé</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2C3E50"/>
                <w:sz w:val="20"/>
                <w:szCs w:val="20"/>
              </w:rPr>
              <w:t xml:space="preserve">26</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Politique de conduite et formation conducteurs ?</w:t>
            </w:r>
          </w:p>
        </w:tc>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Binaire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3E50"/>
                <w:sz w:val="20"/>
                <w:szCs w:val="20"/>
              </w:rPr>
              <w:t xml:space="preserve">Non = score plus élevé</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Arial" w:cs="Arial" w:eastAsia="Arial" w:hAnsi="Arial"/>
        <w:color w:val="5D6D7E"/>
        <w:sz w:val="16"/>
        <w:szCs w:val="16"/>
      </w:rPr>
      <w:t xml:space="preserve">Confidentiel – </w:t>
    </w: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0"/>
    </w:pPr>
    <w:r>
      <w:rPr>
        <w:rFonts w:ascii="Arial" w:cs="Arial" w:eastAsia="Arial" w:hAnsi="Arial"/>
        <w:color w:val="5D6D7E"/>
        <w:sz w:val="16"/>
        <w:szCs w:val="16"/>
      </w:rPr>
      <w:t xml:space="preserve">PRD – Diagnostic Risques Professionnels PME</w:t>
    </w:r>
    <w:r>
      <w:rPr>
        <w:rFonts w:ascii="Arial" w:cs="Arial" w:eastAsia="Arial" w:hAnsi="Arial"/>
        <w:color w:val="5D6D7E"/>
        <w:sz w:val="16"/>
        <w:szCs w:val="16"/>
      </w:rPr>
      <w:t xml:space="preserve">	MVP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2026-03-09T14:19:59.443Z</dcterms:created>
  <dcterms:modified xsi:type="dcterms:W3CDTF">2026-03-09T14:19:59.444Z</dcterms:modified>
</cp:coreProperties>
</file>

<file path=docProps/custom.xml><?xml version="1.0" encoding="utf-8"?>
<Properties xmlns="http://schemas.openxmlformats.org/officeDocument/2006/custom-properties" xmlns:vt="http://schemas.openxmlformats.org/officeDocument/2006/docPropsVTypes"/>
</file>