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965" w:rsidRPr="00F71D12" w:rsidRDefault="00E263BC" w:rsidP="000B26BC">
      <w:pPr>
        <w:jc w:val="both"/>
        <w:rPr>
          <w:b/>
          <w:sz w:val="21"/>
          <w:szCs w:val="21"/>
        </w:rPr>
      </w:pPr>
      <w:bookmarkStart w:id="0" w:name="_GoBack"/>
      <w:bookmarkEnd w:id="0"/>
      <w:r w:rsidRPr="00F71D12">
        <w:rPr>
          <w:noProof/>
          <w:sz w:val="21"/>
          <w:szCs w:val="21"/>
          <w:lang w:eastAsia="en-AU"/>
        </w:rPr>
        <w:drawing>
          <wp:anchor distT="0" distB="0" distL="114300" distR="114300" simplePos="0" relativeHeight="251659264" behindDoc="1" locked="0" layoutInCell="1" allowOverlap="1" wp14:anchorId="577EFBE1" wp14:editId="3D91C7FF">
            <wp:simplePos x="0" y="0"/>
            <wp:positionH relativeFrom="column">
              <wp:posOffset>3475470</wp:posOffset>
            </wp:positionH>
            <wp:positionV relativeFrom="paragraph">
              <wp:posOffset>-445135</wp:posOffset>
            </wp:positionV>
            <wp:extent cx="2279015" cy="609600"/>
            <wp:effectExtent l="0" t="0" r="6985" b="0"/>
            <wp:wrapNone/>
            <wp:docPr id="1" name="Picture 1" descr="cifr_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fr_logo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7965" w:rsidRPr="00F71D12">
        <w:rPr>
          <w:b/>
          <w:sz w:val="21"/>
          <w:szCs w:val="21"/>
        </w:rPr>
        <w:t>CIFR</w:t>
      </w:r>
      <w:r w:rsidR="0016059B" w:rsidRPr="00F71D12">
        <w:rPr>
          <w:b/>
          <w:sz w:val="21"/>
          <w:szCs w:val="21"/>
        </w:rPr>
        <w:t>’S</w:t>
      </w:r>
      <w:r w:rsidR="00B77965" w:rsidRPr="00F71D12">
        <w:rPr>
          <w:b/>
          <w:sz w:val="21"/>
          <w:szCs w:val="21"/>
        </w:rPr>
        <w:t xml:space="preserve"> RESEARCH FUNDING GUIDELINES</w:t>
      </w:r>
    </w:p>
    <w:p w:rsidR="00B77965" w:rsidRPr="00F71D12" w:rsidRDefault="00B77965" w:rsidP="000B26BC">
      <w:pPr>
        <w:jc w:val="both"/>
        <w:rPr>
          <w:b/>
          <w:sz w:val="21"/>
          <w:szCs w:val="21"/>
        </w:rPr>
      </w:pPr>
      <w:r w:rsidRPr="00F71D12">
        <w:rPr>
          <w:b/>
          <w:sz w:val="21"/>
          <w:szCs w:val="21"/>
        </w:rPr>
        <w:t>What is CIFR</w:t>
      </w:r>
      <w:r w:rsidR="0016059B" w:rsidRPr="00F71D12">
        <w:rPr>
          <w:b/>
          <w:sz w:val="21"/>
          <w:szCs w:val="21"/>
        </w:rPr>
        <w:t>’s approach to funding research</w:t>
      </w:r>
      <w:r w:rsidR="00F109BC" w:rsidRPr="00F71D12">
        <w:rPr>
          <w:b/>
          <w:sz w:val="21"/>
          <w:szCs w:val="21"/>
        </w:rPr>
        <w:t xml:space="preserve"> and disseminating research outputs</w:t>
      </w:r>
      <w:r w:rsidRPr="00F71D12">
        <w:rPr>
          <w:b/>
          <w:sz w:val="21"/>
          <w:szCs w:val="21"/>
        </w:rPr>
        <w:t>?</w:t>
      </w:r>
    </w:p>
    <w:p w:rsidR="00A42C01" w:rsidRDefault="00A35A0E" w:rsidP="000B26BC">
      <w:pPr>
        <w:jc w:val="both"/>
        <w:rPr>
          <w:sz w:val="21"/>
          <w:szCs w:val="21"/>
        </w:rPr>
      </w:pPr>
      <w:r w:rsidRPr="00F71D12">
        <w:rPr>
          <w:sz w:val="21"/>
          <w:szCs w:val="21"/>
        </w:rPr>
        <w:t>The Centre for International Finance and Regulation (CIFR)</w:t>
      </w:r>
      <w:r>
        <w:rPr>
          <w:sz w:val="21"/>
          <w:szCs w:val="21"/>
        </w:rPr>
        <w:t xml:space="preserve"> </w:t>
      </w:r>
      <w:r w:rsidR="00760C5C">
        <w:rPr>
          <w:sz w:val="21"/>
          <w:szCs w:val="21"/>
        </w:rPr>
        <w:t>has been</w:t>
      </w:r>
      <w:r>
        <w:rPr>
          <w:sz w:val="21"/>
          <w:szCs w:val="21"/>
        </w:rPr>
        <w:t xml:space="preserve"> funding </w:t>
      </w:r>
      <w:r w:rsidR="00760C5C">
        <w:rPr>
          <w:sz w:val="21"/>
          <w:szCs w:val="21"/>
        </w:rPr>
        <w:t>academic</w:t>
      </w:r>
      <w:r>
        <w:rPr>
          <w:sz w:val="21"/>
          <w:szCs w:val="21"/>
        </w:rPr>
        <w:t xml:space="preserve"> research </w:t>
      </w:r>
      <w:r w:rsidR="00760C5C">
        <w:rPr>
          <w:sz w:val="21"/>
          <w:szCs w:val="21"/>
        </w:rPr>
        <w:t>designed to inform financial industry policy makers, regulators and other industry participants since</w:t>
      </w:r>
      <w:r>
        <w:rPr>
          <w:sz w:val="21"/>
          <w:szCs w:val="21"/>
        </w:rPr>
        <w:t xml:space="preserve"> 2012</w:t>
      </w:r>
      <w:r w:rsidR="00760C5C">
        <w:rPr>
          <w:sz w:val="21"/>
          <w:szCs w:val="21"/>
        </w:rPr>
        <w:t>.</w:t>
      </w:r>
      <w:r>
        <w:rPr>
          <w:sz w:val="21"/>
          <w:szCs w:val="21"/>
        </w:rPr>
        <w:t xml:space="preserve"> </w:t>
      </w:r>
      <w:r w:rsidR="00760C5C">
        <w:rPr>
          <w:sz w:val="21"/>
          <w:szCs w:val="21"/>
        </w:rPr>
        <w:t xml:space="preserve"> We began by </w:t>
      </w:r>
      <w:r w:rsidR="004D025A">
        <w:rPr>
          <w:sz w:val="21"/>
          <w:szCs w:val="21"/>
        </w:rPr>
        <w:t>inviting</w:t>
      </w:r>
      <w:r w:rsidR="00760C5C">
        <w:rPr>
          <w:sz w:val="21"/>
          <w:szCs w:val="21"/>
        </w:rPr>
        <w:t xml:space="preserve"> researchers </w:t>
      </w:r>
      <w:r w:rsidR="004D025A">
        <w:rPr>
          <w:sz w:val="21"/>
          <w:szCs w:val="21"/>
        </w:rPr>
        <w:t>from our consortium member universities and research centres</w:t>
      </w:r>
      <w:r w:rsidR="00760C5C">
        <w:rPr>
          <w:sz w:val="21"/>
          <w:szCs w:val="21"/>
        </w:rPr>
        <w:t xml:space="preserve"> to submit </w:t>
      </w:r>
      <w:r w:rsidR="00181E55">
        <w:rPr>
          <w:sz w:val="21"/>
          <w:szCs w:val="21"/>
        </w:rPr>
        <w:t>e</w:t>
      </w:r>
      <w:r>
        <w:rPr>
          <w:sz w:val="21"/>
          <w:szCs w:val="21"/>
        </w:rPr>
        <w:t>xpression</w:t>
      </w:r>
      <w:r w:rsidR="004D025A">
        <w:rPr>
          <w:sz w:val="21"/>
          <w:szCs w:val="21"/>
        </w:rPr>
        <w:t>s</w:t>
      </w:r>
      <w:r>
        <w:rPr>
          <w:sz w:val="21"/>
          <w:szCs w:val="21"/>
        </w:rPr>
        <w:t xml:space="preserve"> of </w:t>
      </w:r>
      <w:r w:rsidR="00181E55">
        <w:rPr>
          <w:sz w:val="21"/>
          <w:szCs w:val="21"/>
        </w:rPr>
        <w:t>i</w:t>
      </w:r>
      <w:r>
        <w:rPr>
          <w:sz w:val="21"/>
          <w:szCs w:val="21"/>
        </w:rPr>
        <w:t xml:space="preserve">nterest </w:t>
      </w:r>
      <w:r w:rsidR="004D025A">
        <w:rPr>
          <w:sz w:val="21"/>
          <w:szCs w:val="21"/>
        </w:rPr>
        <w:t xml:space="preserve">in undertaking research on particular topics.  </w:t>
      </w:r>
      <w:r>
        <w:rPr>
          <w:sz w:val="21"/>
          <w:szCs w:val="21"/>
        </w:rPr>
        <w:t xml:space="preserve"> </w:t>
      </w:r>
      <w:r w:rsidR="004D025A">
        <w:rPr>
          <w:sz w:val="21"/>
          <w:szCs w:val="21"/>
        </w:rPr>
        <w:t xml:space="preserve">If our Board Research Committee (BRC) considered </w:t>
      </w:r>
      <w:r w:rsidR="00181E55">
        <w:rPr>
          <w:sz w:val="21"/>
          <w:szCs w:val="21"/>
        </w:rPr>
        <w:t>the topic</w:t>
      </w:r>
      <w:r w:rsidR="004D025A">
        <w:rPr>
          <w:sz w:val="21"/>
          <w:szCs w:val="21"/>
        </w:rPr>
        <w:t xml:space="preserve"> to be relevant and interesting, the research team was invited to submit a </w:t>
      </w:r>
      <w:r w:rsidR="00181E55">
        <w:rPr>
          <w:sz w:val="21"/>
          <w:szCs w:val="21"/>
        </w:rPr>
        <w:t>f</w:t>
      </w:r>
      <w:r>
        <w:rPr>
          <w:sz w:val="21"/>
          <w:szCs w:val="21"/>
        </w:rPr>
        <w:t xml:space="preserve">ull </w:t>
      </w:r>
      <w:r w:rsidR="00181E55">
        <w:rPr>
          <w:sz w:val="21"/>
          <w:szCs w:val="21"/>
        </w:rPr>
        <w:t>r</w:t>
      </w:r>
      <w:r w:rsidR="004D025A">
        <w:rPr>
          <w:sz w:val="21"/>
          <w:szCs w:val="21"/>
        </w:rPr>
        <w:t xml:space="preserve">esearch </w:t>
      </w:r>
      <w:r w:rsidR="00181E55">
        <w:rPr>
          <w:sz w:val="21"/>
          <w:szCs w:val="21"/>
        </w:rPr>
        <w:t>p</w:t>
      </w:r>
      <w:r>
        <w:rPr>
          <w:sz w:val="21"/>
          <w:szCs w:val="21"/>
        </w:rPr>
        <w:t xml:space="preserve">roposal.  </w:t>
      </w:r>
      <w:r w:rsidR="00181E55">
        <w:rPr>
          <w:sz w:val="21"/>
          <w:szCs w:val="21"/>
        </w:rPr>
        <w:t>These p</w:t>
      </w:r>
      <w:r w:rsidR="004D025A">
        <w:rPr>
          <w:sz w:val="21"/>
          <w:szCs w:val="21"/>
        </w:rPr>
        <w:t xml:space="preserve">roposals were </w:t>
      </w:r>
      <w:r w:rsidR="0004113E">
        <w:rPr>
          <w:sz w:val="21"/>
          <w:szCs w:val="21"/>
        </w:rPr>
        <w:t xml:space="preserve">reviewed by </w:t>
      </w:r>
      <w:r w:rsidR="004313E1">
        <w:rPr>
          <w:sz w:val="21"/>
          <w:szCs w:val="21"/>
        </w:rPr>
        <w:t xml:space="preserve">academic and industry experts and those that met </w:t>
      </w:r>
      <w:r w:rsidR="0004113E">
        <w:rPr>
          <w:sz w:val="21"/>
          <w:szCs w:val="21"/>
        </w:rPr>
        <w:t>the BRC</w:t>
      </w:r>
      <w:r w:rsidR="004313E1">
        <w:rPr>
          <w:sz w:val="21"/>
          <w:szCs w:val="21"/>
        </w:rPr>
        <w:t>’s requirements</w:t>
      </w:r>
      <w:r w:rsidR="0004113E">
        <w:rPr>
          <w:sz w:val="21"/>
          <w:szCs w:val="21"/>
        </w:rPr>
        <w:t xml:space="preserve"> </w:t>
      </w:r>
      <w:r w:rsidR="004313E1">
        <w:rPr>
          <w:sz w:val="21"/>
          <w:szCs w:val="21"/>
        </w:rPr>
        <w:t xml:space="preserve">were allocated </w:t>
      </w:r>
      <w:r w:rsidR="0004113E">
        <w:rPr>
          <w:sz w:val="21"/>
          <w:szCs w:val="21"/>
        </w:rPr>
        <w:t>funding</w:t>
      </w:r>
      <w:r w:rsidR="004313E1">
        <w:rPr>
          <w:sz w:val="21"/>
          <w:szCs w:val="21"/>
        </w:rPr>
        <w:t>.</w:t>
      </w:r>
      <w:r w:rsidR="0004113E">
        <w:rPr>
          <w:sz w:val="21"/>
          <w:szCs w:val="21"/>
        </w:rPr>
        <w:t xml:space="preserve"> </w:t>
      </w:r>
      <w:r w:rsidR="004313E1">
        <w:rPr>
          <w:sz w:val="21"/>
          <w:szCs w:val="21"/>
        </w:rPr>
        <w:t xml:space="preserve"> </w:t>
      </w:r>
    </w:p>
    <w:p w:rsidR="00A35A0E" w:rsidRDefault="00A42C01" w:rsidP="000B26BC">
      <w:pPr>
        <w:jc w:val="both"/>
        <w:rPr>
          <w:sz w:val="21"/>
          <w:szCs w:val="21"/>
        </w:rPr>
      </w:pPr>
      <w:r>
        <w:rPr>
          <w:sz w:val="21"/>
          <w:szCs w:val="21"/>
        </w:rPr>
        <w:t>In</w:t>
      </w:r>
      <w:r w:rsidR="00A35A0E">
        <w:rPr>
          <w:sz w:val="21"/>
          <w:szCs w:val="21"/>
        </w:rPr>
        <w:t xml:space="preserve"> </w:t>
      </w:r>
      <w:r w:rsidR="008D704E">
        <w:rPr>
          <w:sz w:val="21"/>
          <w:szCs w:val="21"/>
        </w:rPr>
        <w:t>mid-</w:t>
      </w:r>
      <w:r w:rsidR="00A35A0E">
        <w:rPr>
          <w:sz w:val="21"/>
          <w:szCs w:val="21"/>
        </w:rPr>
        <w:t xml:space="preserve">2013, CIFR decided to </w:t>
      </w:r>
      <w:r>
        <w:rPr>
          <w:sz w:val="21"/>
          <w:szCs w:val="21"/>
        </w:rPr>
        <w:t>move to a ‘targeted’</w:t>
      </w:r>
      <w:r w:rsidR="00A35A0E">
        <w:rPr>
          <w:sz w:val="21"/>
          <w:szCs w:val="21"/>
        </w:rPr>
        <w:t xml:space="preserve"> funding </w:t>
      </w:r>
      <w:r>
        <w:rPr>
          <w:sz w:val="21"/>
          <w:szCs w:val="21"/>
        </w:rPr>
        <w:t>model.  This</w:t>
      </w:r>
      <w:r w:rsidR="00A35A0E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involved </w:t>
      </w:r>
      <w:r w:rsidR="00181E55">
        <w:rPr>
          <w:sz w:val="21"/>
          <w:szCs w:val="21"/>
        </w:rPr>
        <w:t xml:space="preserve">asking key stakeholders, such as ASIC, APRA, the RBA, Treasury and industry associations, to </w:t>
      </w:r>
      <w:r>
        <w:rPr>
          <w:sz w:val="21"/>
          <w:szCs w:val="21"/>
        </w:rPr>
        <w:t xml:space="preserve">identify </w:t>
      </w:r>
      <w:r w:rsidR="00181E55">
        <w:rPr>
          <w:sz w:val="21"/>
          <w:szCs w:val="21"/>
        </w:rPr>
        <w:t xml:space="preserve">their </w:t>
      </w:r>
      <w:r>
        <w:rPr>
          <w:sz w:val="21"/>
          <w:szCs w:val="21"/>
        </w:rPr>
        <w:t xml:space="preserve">research </w:t>
      </w:r>
      <w:r w:rsidR="00181E55">
        <w:rPr>
          <w:sz w:val="21"/>
          <w:szCs w:val="21"/>
        </w:rPr>
        <w:t xml:space="preserve">needs, </w:t>
      </w:r>
      <w:r>
        <w:rPr>
          <w:sz w:val="21"/>
          <w:szCs w:val="21"/>
        </w:rPr>
        <w:t xml:space="preserve">and </w:t>
      </w:r>
      <w:r w:rsidR="00181E55">
        <w:rPr>
          <w:sz w:val="21"/>
          <w:szCs w:val="21"/>
        </w:rPr>
        <w:t>then invit</w:t>
      </w:r>
      <w:r>
        <w:rPr>
          <w:sz w:val="21"/>
          <w:szCs w:val="21"/>
        </w:rPr>
        <w:t>ing</w:t>
      </w:r>
      <w:r w:rsidR="00A35A0E">
        <w:rPr>
          <w:sz w:val="21"/>
          <w:szCs w:val="21"/>
        </w:rPr>
        <w:t xml:space="preserve"> academics </w:t>
      </w:r>
      <w:r>
        <w:rPr>
          <w:sz w:val="21"/>
          <w:szCs w:val="21"/>
        </w:rPr>
        <w:t xml:space="preserve">with experience and expertise </w:t>
      </w:r>
      <w:r w:rsidR="00A35A0E">
        <w:rPr>
          <w:sz w:val="21"/>
          <w:szCs w:val="21"/>
        </w:rPr>
        <w:t xml:space="preserve">in </w:t>
      </w:r>
      <w:r>
        <w:rPr>
          <w:sz w:val="21"/>
          <w:szCs w:val="21"/>
        </w:rPr>
        <w:t xml:space="preserve">these </w:t>
      </w:r>
      <w:r w:rsidR="00A35A0E">
        <w:rPr>
          <w:sz w:val="21"/>
          <w:szCs w:val="21"/>
        </w:rPr>
        <w:t>areas</w:t>
      </w:r>
      <w:r w:rsidR="00181E55">
        <w:rPr>
          <w:sz w:val="21"/>
          <w:szCs w:val="21"/>
        </w:rPr>
        <w:t xml:space="preserve"> to submit research proposals that address these needs</w:t>
      </w:r>
      <w:r w:rsidR="00A35A0E">
        <w:rPr>
          <w:sz w:val="21"/>
          <w:szCs w:val="21"/>
        </w:rPr>
        <w:t>.</w:t>
      </w:r>
      <w:r w:rsidR="00181E55">
        <w:rPr>
          <w:sz w:val="21"/>
          <w:szCs w:val="21"/>
        </w:rPr>
        <w:t xml:space="preserve">  These proposals are reviewed by the BRC and allocated funding if their requirements are met.</w:t>
      </w:r>
    </w:p>
    <w:p w:rsidR="008D704E" w:rsidRDefault="008D704E" w:rsidP="000B26BC">
      <w:pPr>
        <w:jc w:val="both"/>
        <w:rPr>
          <w:sz w:val="21"/>
          <w:szCs w:val="21"/>
        </w:rPr>
      </w:pPr>
      <w:r>
        <w:rPr>
          <w:sz w:val="21"/>
          <w:szCs w:val="21"/>
        </w:rPr>
        <w:t>CIFR is happy to work with researchers to ensure that their proposals meet the BRC’s requirements, and highlight the relevance and benefits of the research at the BRC meeting</w:t>
      </w:r>
      <w:r w:rsidR="00A1503E">
        <w:rPr>
          <w:sz w:val="21"/>
          <w:szCs w:val="21"/>
        </w:rPr>
        <w:t xml:space="preserve"> at which the proposal is being considered</w:t>
      </w:r>
      <w:r>
        <w:rPr>
          <w:sz w:val="21"/>
          <w:szCs w:val="21"/>
        </w:rPr>
        <w:t>.</w:t>
      </w:r>
    </w:p>
    <w:p w:rsidR="00B77965" w:rsidRPr="00F71D12" w:rsidRDefault="00AC7FAC" w:rsidP="000B26BC">
      <w:pPr>
        <w:jc w:val="both"/>
        <w:rPr>
          <w:sz w:val="21"/>
          <w:szCs w:val="21"/>
        </w:rPr>
      </w:pPr>
      <w:r w:rsidRPr="00F71D12">
        <w:rPr>
          <w:sz w:val="21"/>
          <w:szCs w:val="21"/>
        </w:rPr>
        <w:t xml:space="preserve">CIFR </w:t>
      </w:r>
      <w:r w:rsidR="00321F12">
        <w:rPr>
          <w:sz w:val="21"/>
          <w:szCs w:val="21"/>
        </w:rPr>
        <w:t>endeavours</w:t>
      </w:r>
      <w:r w:rsidR="008D704E">
        <w:rPr>
          <w:sz w:val="21"/>
          <w:szCs w:val="21"/>
        </w:rPr>
        <w:t xml:space="preserve"> to</w:t>
      </w:r>
      <w:r w:rsidR="0028079C" w:rsidRPr="00F71D12">
        <w:rPr>
          <w:sz w:val="21"/>
          <w:szCs w:val="21"/>
        </w:rPr>
        <w:t xml:space="preserve"> </w:t>
      </w:r>
      <w:r w:rsidR="0016059B" w:rsidRPr="00F71D12">
        <w:rPr>
          <w:sz w:val="21"/>
          <w:szCs w:val="21"/>
        </w:rPr>
        <w:t xml:space="preserve">ensure that </w:t>
      </w:r>
      <w:r w:rsidRPr="00F71D12">
        <w:rPr>
          <w:sz w:val="21"/>
          <w:szCs w:val="21"/>
        </w:rPr>
        <w:t>all</w:t>
      </w:r>
      <w:r w:rsidR="0016059B" w:rsidRPr="00F71D12">
        <w:rPr>
          <w:sz w:val="21"/>
          <w:szCs w:val="21"/>
        </w:rPr>
        <w:t xml:space="preserve"> outputs </w:t>
      </w:r>
      <w:r w:rsidR="00366FCB" w:rsidRPr="00F71D12">
        <w:rPr>
          <w:sz w:val="21"/>
          <w:szCs w:val="21"/>
        </w:rPr>
        <w:t xml:space="preserve">of </w:t>
      </w:r>
      <w:r w:rsidR="008D704E">
        <w:rPr>
          <w:sz w:val="21"/>
          <w:szCs w:val="21"/>
        </w:rPr>
        <w:t>its</w:t>
      </w:r>
      <w:r w:rsidR="00366FCB" w:rsidRPr="00F71D12">
        <w:rPr>
          <w:sz w:val="21"/>
          <w:szCs w:val="21"/>
        </w:rPr>
        <w:t xml:space="preserve"> research </w:t>
      </w:r>
      <w:r w:rsidR="008D704E">
        <w:rPr>
          <w:sz w:val="21"/>
          <w:szCs w:val="21"/>
        </w:rPr>
        <w:t xml:space="preserve">program </w:t>
      </w:r>
      <w:r w:rsidR="0016059B" w:rsidRPr="00F71D12">
        <w:rPr>
          <w:sz w:val="21"/>
          <w:szCs w:val="21"/>
        </w:rPr>
        <w:t xml:space="preserve">are </w:t>
      </w:r>
      <w:r w:rsidR="00321F12">
        <w:rPr>
          <w:sz w:val="21"/>
          <w:szCs w:val="21"/>
        </w:rPr>
        <w:t xml:space="preserve">high quality, </w:t>
      </w:r>
      <w:r w:rsidR="00321F12" w:rsidRPr="00F71D12">
        <w:rPr>
          <w:sz w:val="21"/>
          <w:szCs w:val="21"/>
        </w:rPr>
        <w:t>timely,</w:t>
      </w:r>
      <w:r w:rsidR="00321F12">
        <w:rPr>
          <w:sz w:val="21"/>
          <w:szCs w:val="21"/>
        </w:rPr>
        <w:t xml:space="preserve"> </w:t>
      </w:r>
      <w:r w:rsidR="0016059B" w:rsidRPr="00F71D12">
        <w:rPr>
          <w:sz w:val="21"/>
          <w:szCs w:val="21"/>
        </w:rPr>
        <w:t>relevant</w:t>
      </w:r>
      <w:r w:rsidR="00321F12" w:rsidRPr="00F71D12">
        <w:rPr>
          <w:sz w:val="21"/>
          <w:szCs w:val="21"/>
        </w:rPr>
        <w:t>, easy to understand</w:t>
      </w:r>
      <w:r w:rsidR="0016059B" w:rsidRPr="00F71D12">
        <w:rPr>
          <w:sz w:val="21"/>
          <w:szCs w:val="21"/>
        </w:rPr>
        <w:t xml:space="preserve"> </w:t>
      </w:r>
      <w:r w:rsidR="00321F12">
        <w:rPr>
          <w:sz w:val="21"/>
          <w:szCs w:val="21"/>
        </w:rPr>
        <w:t>and useful</w:t>
      </w:r>
      <w:r w:rsidR="00B12D27" w:rsidRPr="00F71D12">
        <w:rPr>
          <w:sz w:val="21"/>
          <w:szCs w:val="21"/>
        </w:rPr>
        <w:t xml:space="preserve">. </w:t>
      </w:r>
      <w:r w:rsidR="008D704E">
        <w:rPr>
          <w:sz w:val="21"/>
          <w:szCs w:val="21"/>
        </w:rPr>
        <w:t xml:space="preserve"> </w:t>
      </w:r>
      <w:r w:rsidR="00BF109E" w:rsidRPr="00F71D12">
        <w:rPr>
          <w:rFonts w:cs="Arial"/>
          <w:bCs/>
          <w:color w:val="000000"/>
          <w:sz w:val="21"/>
          <w:szCs w:val="21"/>
        </w:rPr>
        <w:t xml:space="preserve">Unlike </w:t>
      </w:r>
      <w:r w:rsidR="00321F12">
        <w:rPr>
          <w:rFonts w:cs="Arial"/>
          <w:bCs/>
          <w:color w:val="000000"/>
          <w:sz w:val="21"/>
          <w:szCs w:val="21"/>
        </w:rPr>
        <w:t xml:space="preserve">most </w:t>
      </w:r>
      <w:r w:rsidR="00BF109E" w:rsidRPr="00F71D12">
        <w:rPr>
          <w:rFonts w:cs="Arial"/>
          <w:bCs/>
          <w:color w:val="000000"/>
          <w:sz w:val="21"/>
          <w:szCs w:val="21"/>
        </w:rPr>
        <w:t>other research funders, CIFR is committed to providing researchers with a broad range of</w:t>
      </w:r>
      <w:r w:rsidR="0028079C" w:rsidRPr="00F71D12">
        <w:rPr>
          <w:rFonts w:cs="Arial"/>
          <w:bCs/>
          <w:color w:val="000000"/>
          <w:sz w:val="21"/>
          <w:szCs w:val="21"/>
        </w:rPr>
        <w:t xml:space="preserve"> opportunities to </w:t>
      </w:r>
      <w:r w:rsidRPr="00F71D12">
        <w:rPr>
          <w:rFonts w:cs="Arial"/>
          <w:bCs/>
          <w:color w:val="000000"/>
          <w:sz w:val="21"/>
          <w:szCs w:val="21"/>
        </w:rPr>
        <w:t xml:space="preserve">collaboratively </w:t>
      </w:r>
      <w:r w:rsidR="00BF109E" w:rsidRPr="00F71D12">
        <w:rPr>
          <w:rFonts w:cs="Arial"/>
          <w:bCs/>
          <w:color w:val="000000"/>
          <w:sz w:val="21"/>
          <w:szCs w:val="21"/>
        </w:rPr>
        <w:t>disseminate</w:t>
      </w:r>
      <w:r w:rsidR="0028079C" w:rsidRPr="00F71D12">
        <w:rPr>
          <w:rFonts w:cs="Arial"/>
          <w:bCs/>
          <w:color w:val="000000"/>
          <w:sz w:val="21"/>
          <w:szCs w:val="21"/>
        </w:rPr>
        <w:t xml:space="preserve"> their findings</w:t>
      </w:r>
      <w:r w:rsidR="00BF109E" w:rsidRPr="00F71D12">
        <w:rPr>
          <w:rFonts w:cs="Arial"/>
          <w:bCs/>
          <w:color w:val="000000"/>
          <w:sz w:val="21"/>
          <w:szCs w:val="21"/>
        </w:rPr>
        <w:t>, including</w:t>
      </w:r>
      <w:r w:rsidR="0028079C" w:rsidRPr="00F71D12">
        <w:rPr>
          <w:rFonts w:cs="Arial"/>
          <w:bCs/>
          <w:color w:val="000000"/>
          <w:sz w:val="21"/>
          <w:szCs w:val="21"/>
        </w:rPr>
        <w:t xml:space="preserve"> publication on the SSRN, </w:t>
      </w:r>
      <w:r w:rsidR="006E429E" w:rsidRPr="00F71D12">
        <w:rPr>
          <w:rFonts w:cs="Arial"/>
          <w:bCs/>
          <w:color w:val="000000"/>
          <w:sz w:val="21"/>
          <w:szCs w:val="21"/>
        </w:rPr>
        <w:t xml:space="preserve">on the </w:t>
      </w:r>
      <w:r w:rsidR="0028079C" w:rsidRPr="00F71D12">
        <w:rPr>
          <w:rFonts w:cs="Arial"/>
          <w:bCs/>
          <w:color w:val="000000"/>
          <w:sz w:val="21"/>
          <w:szCs w:val="21"/>
        </w:rPr>
        <w:t xml:space="preserve">CIFR website and </w:t>
      </w:r>
      <w:r w:rsidR="006E429E" w:rsidRPr="00F71D12">
        <w:rPr>
          <w:rFonts w:cs="Arial"/>
          <w:bCs/>
          <w:color w:val="000000"/>
          <w:sz w:val="21"/>
          <w:szCs w:val="21"/>
        </w:rPr>
        <w:t xml:space="preserve">in the CIFR </w:t>
      </w:r>
      <w:r w:rsidR="0028079C" w:rsidRPr="00F71D12">
        <w:rPr>
          <w:rFonts w:cs="Arial"/>
          <w:bCs/>
          <w:color w:val="000000"/>
          <w:sz w:val="21"/>
          <w:szCs w:val="21"/>
        </w:rPr>
        <w:t>newsletter</w:t>
      </w:r>
      <w:r w:rsidR="00BF109E" w:rsidRPr="00F71D12">
        <w:rPr>
          <w:rFonts w:cs="Arial"/>
          <w:bCs/>
          <w:color w:val="000000"/>
          <w:sz w:val="21"/>
          <w:szCs w:val="21"/>
        </w:rPr>
        <w:t>;</w:t>
      </w:r>
      <w:r w:rsidR="0028079C" w:rsidRPr="00F71D12">
        <w:rPr>
          <w:rFonts w:cs="Arial"/>
          <w:bCs/>
          <w:color w:val="000000"/>
          <w:sz w:val="21"/>
          <w:szCs w:val="21"/>
        </w:rPr>
        <w:t xml:space="preserve"> presentations to industry</w:t>
      </w:r>
      <w:r w:rsidR="00BF109E" w:rsidRPr="00F71D12">
        <w:rPr>
          <w:rFonts w:cs="Arial"/>
          <w:bCs/>
          <w:color w:val="000000"/>
          <w:sz w:val="21"/>
          <w:szCs w:val="21"/>
        </w:rPr>
        <w:t>,</w:t>
      </w:r>
      <w:r w:rsidR="0028079C" w:rsidRPr="00F71D12">
        <w:rPr>
          <w:rFonts w:cs="Arial"/>
          <w:bCs/>
          <w:color w:val="000000"/>
          <w:sz w:val="21"/>
          <w:szCs w:val="21"/>
        </w:rPr>
        <w:t xml:space="preserve"> government and </w:t>
      </w:r>
      <w:r w:rsidRPr="00F71D12">
        <w:rPr>
          <w:rFonts w:cs="Arial"/>
          <w:bCs/>
          <w:color w:val="000000"/>
          <w:sz w:val="21"/>
          <w:szCs w:val="21"/>
        </w:rPr>
        <w:t xml:space="preserve">financial </w:t>
      </w:r>
      <w:r w:rsidR="00BF109E" w:rsidRPr="00F71D12">
        <w:rPr>
          <w:rFonts w:cs="Arial"/>
          <w:bCs/>
          <w:color w:val="000000"/>
          <w:sz w:val="21"/>
          <w:szCs w:val="21"/>
        </w:rPr>
        <w:t xml:space="preserve">regulators; </w:t>
      </w:r>
      <w:r w:rsidR="0028079C" w:rsidRPr="00F71D12">
        <w:rPr>
          <w:rFonts w:cs="Arial"/>
          <w:bCs/>
          <w:color w:val="000000"/>
          <w:sz w:val="21"/>
          <w:szCs w:val="21"/>
        </w:rPr>
        <w:t xml:space="preserve">media </w:t>
      </w:r>
      <w:r w:rsidR="00BF109E" w:rsidRPr="00F71D12">
        <w:rPr>
          <w:rFonts w:cs="Arial"/>
          <w:bCs/>
          <w:color w:val="000000"/>
          <w:sz w:val="21"/>
          <w:szCs w:val="21"/>
        </w:rPr>
        <w:t>exposure;</w:t>
      </w:r>
      <w:r w:rsidR="0028079C" w:rsidRPr="00F71D12">
        <w:rPr>
          <w:rFonts w:cs="Arial"/>
          <w:bCs/>
          <w:color w:val="000000"/>
          <w:sz w:val="21"/>
          <w:szCs w:val="21"/>
        </w:rPr>
        <w:t xml:space="preserve"> and </w:t>
      </w:r>
      <w:r w:rsidR="00BF109E" w:rsidRPr="00F71D12">
        <w:rPr>
          <w:rFonts w:cs="Arial"/>
          <w:bCs/>
          <w:color w:val="000000"/>
          <w:sz w:val="21"/>
          <w:szCs w:val="21"/>
        </w:rPr>
        <w:t xml:space="preserve">video </w:t>
      </w:r>
      <w:r w:rsidR="0028079C" w:rsidRPr="00F71D12">
        <w:rPr>
          <w:rFonts w:cs="Arial"/>
          <w:bCs/>
          <w:color w:val="000000"/>
          <w:sz w:val="21"/>
          <w:szCs w:val="21"/>
        </w:rPr>
        <w:t>interviews.</w:t>
      </w:r>
    </w:p>
    <w:p w:rsidR="00B77965" w:rsidRPr="00F71D12" w:rsidRDefault="00B77965" w:rsidP="000B26BC">
      <w:pPr>
        <w:jc w:val="both"/>
        <w:rPr>
          <w:b/>
          <w:sz w:val="21"/>
          <w:szCs w:val="21"/>
        </w:rPr>
      </w:pPr>
      <w:r w:rsidRPr="00F71D12">
        <w:rPr>
          <w:b/>
          <w:sz w:val="21"/>
          <w:szCs w:val="21"/>
        </w:rPr>
        <w:t xml:space="preserve">What </w:t>
      </w:r>
      <w:r w:rsidR="00A53D52" w:rsidRPr="00F71D12">
        <w:rPr>
          <w:b/>
          <w:sz w:val="21"/>
          <w:szCs w:val="21"/>
        </w:rPr>
        <w:t>are</w:t>
      </w:r>
      <w:r w:rsidRPr="00F71D12">
        <w:rPr>
          <w:b/>
          <w:sz w:val="21"/>
          <w:szCs w:val="21"/>
        </w:rPr>
        <w:t xml:space="preserve"> CIFR</w:t>
      </w:r>
      <w:r w:rsidR="00A53D52" w:rsidRPr="00F71D12">
        <w:rPr>
          <w:b/>
          <w:sz w:val="21"/>
          <w:szCs w:val="21"/>
        </w:rPr>
        <w:t>’s objectives</w:t>
      </w:r>
      <w:r w:rsidRPr="00F71D12">
        <w:rPr>
          <w:b/>
          <w:sz w:val="21"/>
          <w:szCs w:val="21"/>
        </w:rPr>
        <w:t>?</w:t>
      </w:r>
    </w:p>
    <w:p w:rsidR="00B77965" w:rsidRPr="00F71D12" w:rsidRDefault="00B77965" w:rsidP="000B26BC">
      <w:pPr>
        <w:jc w:val="both"/>
        <w:rPr>
          <w:rFonts w:cstheme="minorHAnsi"/>
          <w:sz w:val="21"/>
          <w:szCs w:val="21"/>
        </w:rPr>
      </w:pPr>
      <w:r w:rsidRPr="00F71D12">
        <w:rPr>
          <w:sz w:val="21"/>
          <w:szCs w:val="21"/>
        </w:rPr>
        <w:t>CIFR represents a strategic link between academia, financial regulators, policy makers and industry, promoting financial sector vibrancy, resilienc</w:t>
      </w:r>
      <w:r w:rsidR="006E429E" w:rsidRPr="00F71D12">
        <w:rPr>
          <w:sz w:val="21"/>
          <w:szCs w:val="21"/>
        </w:rPr>
        <w:t>e</w:t>
      </w:r>
      <w:r w:rsidRPr="00F71D12">
        <w:rPr>
          <w:sz w:val="21"/>
          <w:szCs w:val="21"/>
        </w:rPr>
        <w:t xml:space="preserve"> and integrity, through leading research and education. </w:t>
      </w:r>
      <w:r w:rsidR="00D84F21" w:rsidRPr="00F71D12">
        <w:rPr>
          <w:rFonts w:cstheme="minorHAnsi"/>
          <w:sz w:val="21"/>
          <w:szCs w:val="21"/>
        </w:rPr>
        <w:t>The Centre</w:t>
      </w:r>
      <w:r w:rsidR="00B12D27" w:rsidRPr="00F71D12">
        <w:rPr>
          <w:rFonts w:cstheme="minorHAnsi"/>
          <w:sz w:val="21"/>
          <w:szCs w:val="21"/>
        </w:rPr>
        <w:t xml:space="preserve"> seeks to</w:t>
      </w:r>
      <w:r w:rsidR="00D84F21" w:rsidRPr="00F71D12">
        <w:rPr>
          <w:rFonts w:cstheme="minorHAnsi"/>
          <w:sz w:val="21"/>
          <w:szCs w:val="21"/>
        </w:rPr>
        <w:t xml:space="preserve"> </w:t>
      </w:r>
      <w:r w:rsidR="00B12D27" w:rsidRPr="00F71D12">
        <w:rPr>
          <w:rFonts w:cstheme="minorHAnsi"/>
          <w:sz w:val="21"/>
          <w:szCs w:val="21"/>
        </w:rPr>
        <w:t>fund</w:t>
      </w:r>
      <w:r w:rsidR="00D84F21" w:rsidRPr="00F71D12">
        <w:rPr>
          <w:rFonts w:cstheme="minorHAnsi"/>
          <w:sz w:val="21"/>
          <w:szCs w:val="21"/>
        </w:rPr>
        <w:t xml:space="preserve"> new, innovative, multi-disciplinary research aligned with key</w:t>
      </w:r>
      <w:r w:rsidR="00140673" w:rsidRPr="00F71D12">
        <w:rPr>
          <w:rFonts w:cstheme="minorHAnsi"/>
          <w:sz w:val="21"/>
          <w:szCs w:val="21"/>
        </w:rPr>
        <w:t xml:space="preserve"> themes</w:t>
      </w:r>
      <w:r w:rsidR="00D84F21" w:rsidRPr="00F71D12">
        <w:rPr>
          <w:rFonts w:cstheme="minorHAnsi"/>
          <w:sz w:val="21"/>
          <w:szCs w:val="21"/>
        </w:rPr>
        <w:t>.</w:t>
      </w:r>
    </w:p>
    <w:p w:rsidR="00B77965" w:rsidRDefault="00B77965" w:rsidP="000B26BC">
      <w:pPr>
        <w:jc w:val="both"/>
        <w:rPr>
          <w:b/>
          <w:sz w:val="21"/>
          <w:szCs w:val="21"/>
        </w:rPr>
      </w:pPr>
      <w:r w:rsidRPr="00F71D12">
        <w:rPr>
          <w:b/>
          <w:sz w:val="21"/>
          <w:szCs w:val="21"/>
        </w:rPr>
        <w:t xml:space="preserve">What does CIFR look for in a </w:t>
      </w:r>
      <w:r w:rsidR="00A53D52" w:rsidRPr="00F71D12">
        <w:rPr>
          <w:b/>
          <w:sz w:val="21"/>
          <w:szCs w:val="21"/>
        </w:rPr>
        <w:t xml:space="preserve">research </w:t>
      </w:r>
      <w:r w:rsidRPr="00F71D12">
        <w:rPr>
          <w:b/>
          <w:sz w:val="21"/>
          <w:szCs w:val="21"/>
        </w:rPr>
        <w:t>proposal?</w:t>
      </w:r>
    </w:p>
    <w:p w:rsidR="00321F12" w:rsidRPr="00F71D12" w:rsidRDefault="00321F12" w:rsidP="00321F12">
      <w:pPr>
        <w:jc w:val="both"/>
        <w:rPr>
          <w:sz w:val="21"/>
          <w:szCs w:val="21"/>
        </w:rPr>
      </w:pPr>
      <w:r w:rsidRPr="00F71D12">
        <w:rPr>
          <w:rFonts w:eastAsia="Times New Roman" w:cs="Arial"/>
          <w:sz w:val="21"/>
          <w:szCs w:val="21"/>
        </w:rPr>
        <w:t xml:space="preserve">CIFR </w:t>
      </w:r>
      <w:r w:rsidR="00C76BC6">
        <w:rPr>
          <w:rFonts w:eastAsia="Times New Roman" w:cs="Arial"/>
          <w:sz w:val="21"/>
          <w:szCs w:val="21"/>
        </w:rPr>
        <w:t>favours</w:t>
      </w:r>
      <w:r w:rsidRPr="00F71D12">
        <w:rPr>
          <w:rFonts w:eastAsia="Times New Roman" w:cs="Arial"/>
          <w:sz w:val="21"/>
          <w:szCs w:val="21"/>
        </w:rPr>
        <w:t xml:space="preserve"> </w:t>
      </w:r>
      <w:r w:rsidR="001A3373">
        <w:rPr>
          <w:rFonts w:eastAsia="Times New Roman" w:cs="Arial"/>
          <w:sz w:val="21"/>
          <w:szCs w:val="21"/>
        </w:rPr>
        <w:t xml:space="preserve">research </w:t>
      </w:r>
      <w:r w:rsidRPr="00F71D12">
        <w:rPr>
          <w:rFonts w:eastAsia="Times New Roman" w:cs="Arial"/>
          <w:sz w:val="21"/>
          <w:szCs w:val="21"/>
        </w:rPr>
        <w:t xml:space="preserve">proposals that demonstrate </w:t>
      </w:r>
      <w:r w:rsidRPr="00C76BC6">
        <w:rPr>
          <w:rFonts w:eastAsia="Times New Roman" w:cs="Arial"/>
          <w:b/>
          <w:sz w:val="21"/>
          <w:szCs w:val="21"/>
        </w:rPr>
        <w:t>relevance</w:t>
      </w:r>
      <w:r w:rsidRPr="00F71D12">
        <w:rPr>
          <w:rFonts w:eastAsia="Times New Roman" w:cs="Arial"/>
          <w:sz w:val="21"/>
          <w:szCs w:val="21"/>
        </w:rPr>
        <w:t xml:space="preserve">, </w:t>
      </w:r>
      <w:r w:rsidRPr="00C76BC6">
        <w:rPr>
          <w:rFonts w:eastAsia="Times New Roman" w:cs="Arial"/>
          <w:b/>
          <w:sz w:val="21"/>
          <w:szCs w:val="21"/>
        </w:rPr>
        <w:t>quality</w:t>
      </w:r>
      <w:r w:rsidRPr="00F71D12">
        <w:rPr>
          <w:rFonts w:eastAsia="Times New Roman" w:cs="Arial"/>
          <w:sz w:val="21"/>
          <w:szCs w:val="21"/>
        </w:rPr>
        <w:t xml:space="preserve"> and </w:t>
      </w:r>
      <w:r w:rsidRPr="00C76BC6">
        <w:rPr>
          <w:rFonts w:eastAsia="Times New Roman" w:cs="Arial"/>
          <w:b/>
          <w:sz w:val="21"/>
          <w:szCs w:val="21"/>
        </w:rPr>
        <w:t>value for money</w:t>
      </w:r>
      <w:r w:rsidRPr="00F71D12">
        <w:rPr>
          <w:rFonts w:eastAsia="Times New Roman" w:cs="Arial"/>
          <w:sz w:val="21"/>
          <w:szCs w:val="21"/>
        </w:rPr>
        <w:t xml:space="preserve">, and can be completed within an acceptable </w:t>
      </w:r>
      <w:r w:rsidRPr="00C76BC6">
        <w:rPr>
          <w:rFonts w:eastAsia="Times New Roman" w:cs="Arial"/>
          <w:b/>
          <w:sz w:val="21"/>
          <w:szCs w:val="21"/>
        </w:rPr>
        <w:t>timeframe</w:t>
      </w:r>
      <w:r w:rsidRPr="00F71D12">
        <w:rPr>
          <w:sz w:val="21"/>
          <w:szCs w:val="21"/>
        </w:rPr>
        <w:t>.</w:t>
      </w:r>
      <w:r w:rsidR="001A3373">
        <w:rPr>
          <w:sz w:val="21"/>
          <w:szCs w:val="21"/>
        </w:rPr>
        <w:t xml:space="preserve">  Specifically we look for:</w:t>
      </w:r>
    </w:p>
    <w:p w:rsidR="00761258" w:rsidRPr="001A3373" w:rsidRDefault="008D7682" w:rsidP="001A3373">
      <w:pPr>
        <w:pStyle w:val="ListParagraph"/>
        <w:numPr>
          <w:ilvl w:val="0"/>
          <w:numId w:val="11"/>
        </w:numPr>
        <w:jc w:val="both"/>
        <w:rPr>
          <w:rFonts w:eastAsia="Times New Roman" w:cs="Arial"/>
          <w:sz w:val="21"/>
          <w:szCs w:val="21"/>
        </w:rPr>
      </w:pPr>
      <w:r>
        <w:rPr>
          <w:rFonts w:eastAsia="Times New Roman" w:cs="Arial"/>
          <w:sz w:val="21"/>
          <w:szCs w:val="21"/>
        </w:rPr>
        <w:t>R</w:t>
      </w:r>
      <w:r w:rsidR="00761258" w:rsidRPr="001A3373">
        <w:rPr>
          <w:rFonts w:eastAsia="Times New Roman" w:cs="Arial"/>
          <w:sz w:val="21"/>
          <w:szCs w:val="21"/>
        </w:rPr>
        <w:t xml:space="preserve">esearch which is likely to provide </w:t>
      </w:r>
      <w:r>
        <w:rPr>
          <w:rFonts w:eastAsia="Times New Roman" w:cs="Arial"/>
          <w:sz w:val="21"/>
          <w:szCs w:val="21"/>
        </w:rPr>
        <w:t xml:space="preserve">innovative </w:t>
      </w:r>
      <w:r w:rsidR="00761258" w:rsidRPr="001A3373">
        <w:rPr>
          <w:rFonts w:eastAsia="Times New Roman" w:cs="Arial"/>
          <w:sz w:val="21"/>
          <w:szCs w:val="21"/>
        </w:rPr>
        <w:t xml:space="preserve">insights </w:t>
      </w:r>
      <w:r w:rsidR="00C76BC6">
        <w:rPr>
          <w:rFonts w:eastAsia="Times New Roman" w:cs="Arial"/>
          <w:sz w:val="21"/>
          <w:szCs w:val="21"/>
        </w:rPr>
        <w:t>in</w:t>
      </w:r>
      <w:r w:rsidR="00761258" w:rsidRPr="001A3373">
        <w:rPr>
          <w:rFonts w:eastAsia="Times New Roman" w:cs="Arial"/>
          <w:sz w:val="21"/>
          <w:szCs w:val="21"/>
        </w:rPr>
        <w:t xml:space="preserve">to </w:t>
      </w:r>
      <w:r w:rsidR="00C76BC6">
        <w:rPr>
          <w:rFonts w:eastAsia="Times New Roman" w:cs="Arial"/>
          <w:sz w:val="21"/>
          <w:szCs w:val="21"/>
        </w:rPr>
        <w:t>ways in which</w:t>
      </w:r>
      <w:r w:rsidR="00761258" w:rsidRPr="001A3373">
        <w:rPr>
          <w:rFonts w:eastAsia="Times New Roman" w:cs="Arial"/>
          <w:sz w:val="21"/>
          <w:szCs w:val="21"/>
        </w:rPr>
        <w:t xml:space="preserve"> the Australian financial industry</w:t>
      </w:r>
      <w:r w:rsidR="00C76BC6" w:rsidRPr="00C76BC6">
        <w:rPr>
          <w:rFonts w:eastAsia="Times New Roman" w:cs="Arial"/>
          <w:sz w:val="21"/>
          <w:szCs w:val="21"/>
        </w:rPr>
        <w:t xml:space="preserve"> </w:t>
      </w:r>
      <w:r w:rsidR="00C76BC6">
        <w:rPr>
          <w:rFonts w:eastAsia="Times New Roman" w:cs="Arial"/>
          <w:sz w:val="21"/>
          <w:szCs w:val="21"/>
        </w:rPr>
        <w:t xml:space="preserve">might be </w:t>
      </w:r>
      <w:r w:rsidR="00C76BC6" w:rsidRPr="001A3373">
        <w:rPr>
          <w:rFonts w:eastAsia="Times New Roman" w:cs="Arial"/>
          <w:sz w:val="21"/>
          <w:szCs w:val="21"/>
        </w:rPr>
        <w:t>strengthen</w:t>
      </w:r>
      <w:r w:rsidR="00C76BC6">
        <w:rPr>
          <w:rFonts w:eastAsia="Times New Roman" w:cs="Arial"/>
          <w:sz w:val="21"/>
          <w:szCs w:val="21"/>
        </w:rPr>
        <w:t>ed</w:t>
      </w:r>
      <w:r w:rsidR="00761258" w:rsidRPr="001A3373">
        <w:rPr>
          <w:rFonts w:eastAsia="Times New Roman" w:cs="Arial"/>
          <w:sz w:val="21"/>
          <w:szCs w:val="21"/>
        </w:rPr>
        <w:t>.</w:t>
      </w:r>
    </w:p>
    <w:p w:rsidR="00761258" w:rsidRPr="001A3373" w:rsidRDefault="008D7682" w:rsidP="001A3373">
      <w:pPr>
        <w:pStyle w:val="ListParagraph"/>
        <w:numPr>
          <w:ilvl w:val="0"/>
          <w:numId w:val="11"/>
        </w:numPr>
        <w:jc w:val="both"/>
        <w:rPr>
          <w:rFonts w:eastAsia="Times New Roman" w:cs="Arial"/>
          <w:sz w:val="21"/>
          <w:szCs w:val="21"/>
        </w:rPr>
      </w:pPr>
      <w:r>
        <w:rPr>
          <w:rFonts w:eastAsia="Times New Roman" w:cs="Arial"/>
          <w:sz w:val="21"/>
          <w:szCs w:val="21"/>
        </w:rPr>
        <w:t>P</w:t>
      </w:r>
      <w:r w:rsidR="00761258" w:rsidRPr="001A3373">
        <w:rPr>
          <w:rFonts w:eastAsia="Times New Roman" w:cs="Arial"/>
          <w:sz w:val="21"/>
          <w:szCs w:val="21"/>
        </w:rPr>
        <w:t xml:space="preserve">roposals which </w:t>
      </w:r>
      <w:r w:rsidR="00C76BC6">
        <w:rPr>
          <w:rFonts w:eastAsia="Times New Roman" w:cs="Arial"/>
          <w:sz w:val="21"/>
          <w:szCs w:val="21"/>
        </w:rPr>
        <w:t>include written endorsement</w:t>
      </w:r>
      <w:r w:rsidR="00761258" w:rsidRPr="001A3373">
        <w:rPr>
          <w:rFonts w:eastAsia="Times New Roman" w:cs="Arial"/>
          <w:sz w:val="21"/>
          <w:szCs w:val="21"/>
        </w:rPr>
        <w:t xml:space="preserve"> by one or more of CIFR’s key stakeholders, such as ASIC, APRA, the RBA or Treasury</w:t>
      </w:r>
      <w:r>
        <w:rPr>
          <w:rFonts w:eastAsia="Times New Roman" w:cs="Arial"/>
          <w:sz w:val="21"/>
          <w:szCs w:val="21"/>
        </w:rPr>
        <w:t>.</w:t>
      </w:r>
    </w:p>
    <w:p w:rsidR="00761258" w:rsidRPr="00477BE1" w:rsidRDefault="00761258" w:rsidP="00477BE1">
      <w:pPr>
        <w:pStyle w:val="ListParagraph"/>
        <w:numPr>
          <w:ilvl w:val="0"/>
          <w:numId w:val="11"/>
        </w:numPr>
        <w:jc w:val="both"/>
        <w:rPr>
          <w:rFonts w:eastAsia="Times New Roman" w:cs="Arial"/>
          <w:sz w:val="21"/>
          <w:szCs w:val="21"/>
        </w:rPr>
      </w:pPr>
      <w:r w:rsidRPr="00477BE1">
        <w:rPr>
          <w:rFonts w:eastAsia="Times New Roman" w:cs="Arial"/>
          <w:sz w:val="21"/>
          <w:szCs w:val="21"/>
        </w:rPr>
        <w:t xml:space="preserve">A high quality research team, </w:t>
      </w:r>
      <w:r w:rsidR="00922BA5" w:rsidRPr="00477BE1">
        <w:rPr>
          <w:rFonts w:eastAsia="Times New Roman" w:cs="Arial"/>
          <w:sz w:val="21"/>
          <w:szCs w:val="21"/>
        </w:rPr>
        <w:t xml:space="preserve">with every member having a clearly defined role and sufficient experience and expertise to carry out their role.  </w:t>
      </w:r>
      <w:r w:rsidR="00477BE1" w:rsidRPr="00477BE1">
        <w:rPr>
          <w:rFonts w:eastAsia="Times New Roman" w:cs="Arial"/>
          <w:sz w:val="21"/>
          <w:szCs w:val="21"/>
        </w:rPr>
        <w:t>We want to work directly with academic experts, and not have important work outsourced to junior academics or higher degree students.</w:t>
      </w:r>
      <w:r w:rsidR="00477BE1">
        <w:rPr>
          <w:rFonts w:eastAsia="Times New Roman" w:cs="Arial"/>
          <w:sz w:val="21"/>
          <w:szCs w:val="21"/>
        </w:rPr>
        <w:t xml:space="preserve"> </w:t>
      </w:r>
      <w:r w:rsidR="00477BE1" w:rsidRPr="00477BE1">
        <w:rPr>
          <w:rFonts w:eastAsia="Times New Roman" w:cs="Arial"/>
          <w:sz w:val="21"/>
          <w:szCs w:val="21"/>
        </w:rPr>
        <w:t xml:space="preserve"> </w:t>
      </w:r>
      <w:r w:rsidR="00922BA5" w:rsidRPr="00477BE1">
        <w:rPr>
          <w:rFonts w:eastAsia="Times New Roman" w:cs="Arial"/>
          <w:sz w:val="21"/>
          <w:szCs w:val="21"/>
        </w:rPr>
        <w:t>The inclusion of</w:t>
      </w:r>
      <w:r w:rsidRPr="00477BE1">
        <w:rPr>
          <w:rFonts w:eastAsia="Times New Roman" w:cs="Arial"/>
          <w:sz w:val="21"/>
          <w:szCs w:val="21"/>
        </w:rPr>
        <w:t xml:space="preserve"> an </w:t>
      </w:r>
      <w:r w:rsidR="00C76BC6" w:rsidRPr="00477BE1">
        <w:rPr>
          <w:rFonts w:eastAsia="Times New Roman" w:cs="Arial"/>
          <w:sz w:val="21"/>
          <w:szCs w:val="21"/>
        </w:rPr>
        <w:t xml:space="preserve">eminent </w:t>
      </w:r>
      <w:r w:rsidRPr="00477BE1">
        <w:rPr>
          <w:rFonts w:eastAsia="Times New Roman" w:cs="Arial"/>
          <w:sz w:val="21"/>
          <w:szCs w:val="21"/>
        </w:rPr>
        <w:t xml:space="preserve">international </w:t>
      </w:r>
      <w:r w:rsidR="00C76BC6" w:rsidRPr="00477BE1">
        <w:rPr>
          <w:rFonts w:eastAsia="Times New Roman" w:cs="Arial"/>
          <w:sz w:val="21"/>
          <w:szCs w:val="21"/>
        </w:rPr>
        <w:t>scholar</w:t>
      </w:r>
      <w:r w:rsidR="00922BA5" w:rsidRPr="00477BE1">
        <w:rPr>
          <w:rFonts w:eastAsia="Times New Roman" w:cs="Arial"/>
          <w:sz w:val="21"/>
          <w:szCs w:val="21"/>
        </w:rPr>
        <w:t xml:space="preserve"> can be advantageous</w:t>
      </w:r>
      <w:r w:rsidRPr="00477BE1">
        <w:rPr>
          <w:rFonts w:eastAsia="Times New Roman" w:cs="Arial"/>
          <w:sz w:val="21"/>
          <w:szCs w:val="21"/>
        </w:rPr>
        <w:t>.</w:t>
      </w:r>
    </w:p>
    <w:p w:rsidR="00922BA5" w:rsidRDefault="00922BA5" w:rsidP="001A3373">
      <w:pPr>
        <w:pStyle w:val="ListParagraph"/>
        <w:numPr>
          <w:ilvl w:val="0"/>
          <w:numId w:val="11"/>
        </w:numPr>
        <w:jc w:val="both"/>
        <w:rPr>
          <w:rFonts w:eastAsia="Times New Roman" w:cs="Arial"/>
          <w:sz w:val="21"/>
          <w:szCs w:val="21"/>
        </w:rPr>
      </w:pPr>
      <w:r>
        <w:rPr>
          <w:rFonts w:eastAsia="Times New Roman" w:cs="Arial"/>
          <w:sz w:val="21"/>
          <w:szCs w:val="21"/>
        </w:rPr>
        <w:t>A comprehensive data set that is available from affordable subscriptions.</w:t>
      </w:r>
    </w:p>
    <w:p w:rsidR="00C76BC6" w:rsidRDefault="00922BA5" w:rsidP="001A3373">
      <w:pPr>
        <w:pStyle w:val="ListParagraph"/>
        <w:numPr>
          <w:ilvl w:val="0"/>
          <w:numId w:val="11"/>
        </w:numPr>
        <w:jc w:val="both"/>
        <w:rPr>
          <w:rFonts w:eastAsia="Times New Roman" w:cs="Arial"/>
          <w:sz w:val="21"/>
          <w:szCs w:val="21"/>
        </w:rPr>
      </w:pPr>
      <w:r>
        <w:rPr>
          <w:rFonts w:eastAsia="Times New Roman" w:cs="Arial"/>
          <w:sz w:val="21"/>
          <w:szCs w:val="21"/>
        </w:rPr>
        <w:t>Robust</w:t>
      </w:r>
      <w:r w:rsidR="00C76BC6">
        <w:rPr>
          <w:rFonts w:eastAsia="Times New Roman" w:cs="Arial"/>
          <w:sz w:val="21"/>
          <w:szCs w:val="21"/>
        </w:rPr>
        <w:t xml:space="preserve"> research methodology.  </w:t>
      </w:r>
    </w:p>
    <w:p w:rsidR="00477BE1" w:rsidRDefault="00C76BC6" w:rsidP="00477BE1">
      <w:pPr>
        <w:pStyle w:val="ListParagraph"/>
        <w:numPr>
          <w:ilvl w:val="0"/>
          <w:numId w:val="11"/>
        </w:numPr>
        <w:jc w:val="both"/>
        <w:rPr>
          <w:rFonts w:eastAsia="Times New Roman" w:cs="Arial"/>
          <w:sz w:val="21"/>
          <w:szCs w:val="21"/>
        </w:rPr>
      </w:pPr>
      <w:r w:rsidRPr="00477BE1">
        <w:rPr>
          <w:rFonts w:eastAsia="Times New Roman" w:cs="Arial"/>
          <w:sz w:val="21"/>
          <w:szCs w:val="21"/>
        </w:rPr>
        <w:t xml:space="preserve">A </w:t>
      </w:r>
      <w:r w:rsidR="00477BE1" w:rsidRPr="00477BE1">
        <w:rPr>
          <w:rFonts w:eastAsia="Times New Roman" w:cs="Arial"/>
          <w:sz w:val="21"/>
          <w:szCs w:val="21"/>
        </w:rPr>
        <w:t xml:space="preserve">realistic and </w:t>
      </w:r>
      <w:r w:rsidRPr="00477BE1">
        <w:rPr>
          <w:rFonts w:eastAsia="Times New Roman" w:cs="Arial"/>
          <w:sz w:val="21"/>
          <w:szCs w:val="21"/>
        </w:rPr>
        <w:t xml:space="preserve">responsible budget, with </w:t>
      </w:r>
      <w:r w:rsidR="00477BE1" w:rsidRPr="00477BE1">
        <w:rPr>
          <w:rFonts w:eastAsia="Times New Roman" w:cs="Arial"/>
          <w:sz w:val="21"/>
          <w:szCs w:val="21"/>
        </w:rPr>
        <w:t xml:space="preserve">adequate justification for </w:t>
      </w:r>
      <w:r w:rsidRPr="00477BE1">
        <w:rPr>
          <w:rFonts w:eastAsia="Times New Roman" w:cs="Arial"/>
          <w:sz w:val="21"/>
          <w:szCs w:val="21"/>
        </w:rPr>
        <w:t xml:space="preserve">all </w:t>
      </w:r>
      <w:r w:rsidR="00477BE1" w:rsidRPr="00477BE1">
        <w:rPr>
          <w:rFonts w:eastAsia="Times New Roman" w:cs="Arial"/>
          <w:sz w:val="21"/>
          <w:szCs w:val="21"/>
        </w:rPr>
        <w:t>expenditure, including teaching buyouts, research assistants</w:t>
      </w:r>
      <w:r w:rsidRPr="00477BE1">
        <w:rPr>
          <w:rFonts w:eastAsia="Times New Roman" w:cs="Arial"/>
          <w:sz w:val="21"/>
          <w:szCs w:val="21"/>
        </w:rPr>
        <w:t>, consultant</w:t>
      </w:r>
      <w:r w:rsidR="00477BE1" w:rsidRPr="00477BE1">
        <w:rPr>
          <w:rFonts w:eastAsia="Times New Roman" w:cs="Arial"/>
          <w:sz w:val="21"/>
          <w:szCs w:val="21"/>
        </w:rPr>
        <w:t>s, travel and data</w:t>
      </w:r>
      <w:r w:rsidRPr="00477BE1">
        <w:rPr>
          <w:rFonts w:eastAsia="Times New Roman" w:cs="Arial"/>
          <w:sz w:val="21"/>
          <w:szCs w:val="21"/>
        </w:rPr>
        <w:t>.</w:t>
      </w:r>
    </w:p>
    <w:p w:rsidR="00477BE1" w:rsidRPr="00477BE1" w:rsidRDefault="00C76BC6" w:rsidP="00477BE1">
      <w:pPr>
        <w:pStyle w:val="ListParagraph"/>
        <w:numPr>
          <w:ilvl w:val="0"/>
          <w:numId w:val="11"/>
        </w:numPr>
        <w:jc w:val="both"/>
        <w:rPr>
          <w:rFonts w:eastAsia="Times New Roman" w:cs="Arial"/>
          <w:sz w:val="21"/>
          <w:szCs w:val="21"/>
        </w:rPr>
      </w:pPr>
      <w:r w:rsidRPr="00477BE1">
        <w:rPr>
          <w:rFonts w:eastAsia="Times New Roman" w:cs="Arial"/>
          <w:sz w:val="21"/>
          <w:szCs w:val="21"/>
        </w:rPr>
        <w:lastRenderedPageBreak/>
        <w:t>A timeframe of no more than twelve months</w:t>
      </w:r>
      <w:r w:rsidR="0057788C">
        <w:rPr>
          <w:rFonts w:eastAsia="Times New Roman" w:cs="Arial"/>
          <w:sz w:val="21"/>
          <w:szCs w:val="21"/>
        </w:rPr>
        <w:t>,</w:t>
      </w:r>
      <w:r w:rsidR="00477BE1" w:rsidRPr="00477BE1">
        <w:rPr>
          <w:rFonts w:eastAsia="Times New Roman" w:cs="Arial"/>
          <w:sz w:val="21"/>
          <w:szCs w:val="21"/>
        </w:rPr>
        <w:t xml:space="preserve"> </w:t>
      </w:r>
      <w:r w:rsidR="0057788C">
        <w:rPr>
          <w:rFonts w:eastAsia="Times New Roman" w:cs="Arial"/>
          <w:sz w:val="21"/>
          <w:szCs w:val="21"/>
        </w:rPr>
        <w:t>so</w:t>
      </w:r>
      <w:r w:rsidR="00477BE1" w:rsidRPr="00477BE1">
        <w:rPr>
          <w:rFonts w:eastAsia="Times New Roman" w:cs="Arial"/>
          <w:sz w:val="21"/>
          <w:szCs w:val="21"/>
        </w:rPr>
        <w:t xml:space="preserve"> </w:t>
      </w:r>
      <w:r w:rsidR="00477BE1">
        <w:rPr>
          <w:rFonts w:eastAsia="Times New Roman" w:cs="Arial"/>
          <w:sz w:val="21"/>
          <w:szCs w:val="21"/>
        </w:rPr>
        <w:t>there will be</w:t>
      </w:r>
      <w:r w:rsidR="00477BE1" w:rsidRPr="00477BE1">
        <w:rPr>
          <w:rFonts w:eastAsia="Times New Roman" w:cs="Arial"/>
          <w:sz w:val="21"/>
          <w:szCs w:val="21"/>
        </w:rPr>
        <w:t xml:space="preserve"> sufficient time to effectively disseminate the research outputs and </w:t>
      </w:r>
      <w:r w:rsidR="0057788C">
        <w:rPr>
          <w:rFonts w:eastAsia="Times New Roman" w:cs="Arial"/>
          <w:sz w:val="21"/>
          <w:szCs w:val="21"/>
        </w:rPr>
        <w:t>inform public policy</w:t>
      </w:r>
      <w:r w:rsidR="00477BE1" w:rsidRPr="00477BE1">
        <w:rPr>
          <w:rFonts w:eastAsia="Times New Roman" w:cs="Arial"/>
          <w:sz w:val="21"/>
          <w:szCs w:val="21"/>
        </w:rPr>
        <w:t>.</w:t>
      </w:r>
    </w:p>
    <w:p w:rsidR="00B77965" w:rsidRPr="00F71D12" w:rsidRDefault="00B77965" w:rsidP="000B26BC">
      <w:pPr>
        <w:jc w:val="both"/>
        <w:rPr>
          <w:b/>
          <w:sz w:val="21"/>
          <w:szCs w:val="21"/>
        </w:rPr>
      </w:pPr>
      <w:r w:rsidRPr="00F71D12">
        <w:rPr>
          <w:b/>
          <w:sz w:val="21"/>
          <w:szCs w:val="21"/>
        </w:rPr>
        <w:t xml:space="preserve">What does CIFR </w:t>
      </w:r>
      <w:r w:rsidR="001C5648" w:rsidRPr="00F71D12">
        <w:rPr>
          <w:b/>
          <w:sz w:val="21"/>
          <w:szCs w:val="21"/>
        </w:rPr>
        <w:t xml:space="preserve">tend </w:t>
      </w:r>
      <w:r w:rsidRPr="00F71D12">
        <w:rPr>
          <w:b/>
          <w:sz w:val="21"/>
          <w:szCs w:val="21"/>
        </w:rPr>
        <w:t>not</w:t>
      </w:r>
      <w:r w:rsidR="001C5648" w:rsidRPr="00F71D12">
        <w:rPr>
          <w:b/>
          <w:sz w:val="21"/>
          <w:szCs w:val="21"/>
        </w:rPr>
        <w:t xml:space="preserve"> to</w:t>
      </w:r>
      <w:r w:rsidRPr="00F71D12">
        <w:rPr>
          <w:b/>
          <w:sz w:val="21"/>
          <w:szCs w:val="21"/>
        </w:rPr>
        <w:t xml:space="preserve"> fund?</w:t>
      </w:r>
    </w:p>
    <w:p w:rsidR="00A7186B" w:rsidRPr="00F71D12" w:rsidRDefault="00F71D12" w:rsidP="000B26BC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F71D12">
        <w:rPr>
          <w:sz w:val="21"/>
          <w:szCs w:val="21"/>
        </w:rPr>
        <w:t>Unsolicited</w:t>
      </w:r>
      <w:r w:rsidR="00A7186B" w:rsidRPr="00F71D12">
        <w:rPr>
          <w:sz w:val="21"/>
          <w:szCs w:val="21"/>
        </w:rPr>
        <w:t xml:space="preserve"> research projects</w:t>
      </w:r>
      <w:r w:rsidR="0057788C">
        <w:rPr>
          <w:sz w:val="21"/>
          <w:szCs w:val="21"/>
        </w:rPr>
        <w:t xml:space="preserve"> that do not fit within</w:t>
      </w:r>
      <w:r w:rsidR="00A7186B" w:rsidRPr="00F71D12">
        <w:rPr>
          <w:sz w:val="21"/>
          <w:szCs w:val="21"/>
        </w:rPr>
        <w:t xml:space="preserve"> CIFR</w:t>
      </w:r>
      <w:r w:rsidR="0057788C">
        <w:rPr>
          <w:sz w:val="21"/>
          <w:szCs w:val="21"/>
        </w:rPr>
        <w:t>’s</w:t>
      </w:r>
      <w:r w:rsidR="00A7186B" w:rsidRPr="00F71D12">
        <w:rPr>
          <w:sz w:val="21"/>
          <w:szCs w:val="21"/>
        </w:rPr>
        <w:t xml:space="preserve"> targeted research model.</w:t>
      </w:r>
    </w:p>
    <w:p w:rsidR="00CF099A" w:rsidRPr="00F71D12" w:rsidRDefault="00CF099A" w:rsidP="000B26BC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F71D12">
        <w:rPr>
          <w:sz w:val="21"/>
          <w:szCs w:val="21"/>
        </w:rPr>
        <w:t xml:space="preserve">Projects </w:t>
      </w:r>
      <w:r w:rsidR="00623642" w:rsidRPr="00F71D12">
        <w:rPr>
          <w:sz w:val="21"/>
          <w:szCs w:val="21"/>
        </w:rPr>
        <w:t>which</w:t>
      </w:r>
      <w:r w:rsidRPr="00F71D12">
        <w:rPr>
          <w:sz w:val="21"/>
          <w:szCs w:val="21"/>
        </w:rPr>
        <w:t xml:space="preserve"> </w:t>
      </w:r>
      <w:r w:rsidR="005C5E48" w:rsidRPr="00F71D12">
        <w:rPr>
          <w:sz w:val="21"/>
          <w:szCs w:val="21"/>
        </w:rPr>
        <w:t>are not clearly relevant to CIFR’s stakeholders.</w:t>
      </w:r>
    </w:p>
    <w:p w:rsidR="00D84F21" w:rsidRPr="00F71D12" w:rsidRDefault="00D84F21" w:rsidP="000B26BC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F71D12">
        <w:rPr>
          <w:sz w:val="21"/>
          <w:szCs w:val="21"/>
        </w:rPr>
        <w:t xml:space="preserve">Projects </w:t>
      </w:r>
      <w:r w:rsidR="001964E5" w:rsidRPr="00F71D12">
        <w:rPr>
          <w:sz w:val="21"/>
          <w:szCs w:val="21"/>
        </w:rPr>
        <w:t xml:space="preserve">with a </w:t>
      </w:r>
      <w:r w:rsidR="0057788C">
        <w:rPr>
          <w:sz w:val="21"/>
          <w:szCs w:val="21"/>
        </w:rPr>
        <w:t>timeframe</w:t>
      </w:r>
      <w:r w:rsidR="001964E5" w:rsidRPr="00F71D12">
        <w:rPr>
          <w:sz w:val="21"/>
          <w:szCs w:val="21"/>
        </w:rPr>
        <w:t xml:space="preserve"> of more than</w:t>
      </w:r>
      <w:r w:rsidRPr="00F71D12">
        <w:rPr>
          <w:sz w:val="21"/>
          <w:szCs w:val="21"/>
        </w:rPr>
        <w:t xml:space="preserve"> one year. </w:t>
      </w:r>
    </w:p>
    <w:p w:rsidR="001964E5" w:rsidRPr="00F71D12" w:rsidRDefault="00D84F21" w:rsidP="000B26BC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F71D12">
        <w:rPr>
          <w:sz w:val="21"/>
          <w:szCs w:val="21"/>
        </w:rPr>
        <w:t>Projects that do not represent value for money</w:t>
      </w:r>
      <w:r w:rsidR="00C86221" w:rsidRPr="00F71D12">
        <w:rPr>
          <w:sz w:val="21"/>
          <w:szCs w:val="21"/>
        </w:rPr>
        <w:t xml:space="preserve"> or where expenditure cannot be justified</w:t>
      </w:r>
      <w:r w:rsidRPr="00F71D12">
        <w:rPr>
          <w:sz w:val="21"/>
          <w:szCs w:val="21"/>
        </w:rPr>
        <w:t>.</w:t>
      </w:r>
      <w:r w:rsidR="000B26BC" w:rsidRPr="00F71D12">
        <w:rPr>
          <w:sz w:val="21"/>
          <w:szCs w:val="21"/>
        </w:rPr>
        <w:t xml:space="preserve"> </w:t>
      </w:r>
    </w:p>
    <w:p w:rsidR="00D84F21" w:rsidRPr="00F71D12" w:rsidRDefault="00D84F21" w:rsidP="000B26BC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F71D12">
        <w:rPr>
          <w:sz w:val="21"/>
          <w:szCs w:val="21"/>
        </w:rPr>
        <w:t>Databases</w:t>
      </w:r>
      <w:r w:rsidR="001964E5" w:rsidRPr="00F71D12">
        <w:rPr>
          <w:sz w:val="21"/>
          <w:szCs w:val="21"/>
        </w:rPr>
        <w:t xml:space="preserve"> which </w:t>
      </w:r>
      <w:r w:rsidR="008A267E">
        <w:rPr>
          <w:sz w:val="21"/>
          <w:szCs w:val="21"/>
        </w:rPr>
        <w:t xml:space="preserve">primarily </w:t>
      </w:r>
      <w:r w:rsidR="001964E5" w:rsidRPr="00F71D12">
        <w:rPr>
          <w:sz w:val="21"/>
          <w:szCs w:val="21"/>
        </w:rPr>
        <w:t>provide</w:t>
      </w:r>
      <w:r w:rsidRPr="00F71D12">
        <w:rPr>
          <w:sz w:val="21"/>
          <w:szCs w:val="21"/>
        </w:rPr>
        <w:t xml:space="preserve"> long</w:t>
      </w:r>
      <w:r w:rsidR="001964E5" w:rsidRPr="00F71D12">
        <w:rPr>
          <w:sz w:val="21"/>
          <w:szCs w:val="21"/>
        </w:rPr>
        <w:t>-</w:t>
      </w:r>
      <w:r w:rsidRPr="00F71D12">
        <w:rPr>
          <w:sz w:val="21"/>
          <w:szCs w:val="21"/>
        </w:rPr>
        <w:t xml:space="preserve">term benefits </w:t>
      </w:r>
      <w:r w:rsidR="001964E5" w:rsidRPr="00F71D12">
        <w:rPr>
          <w:sz w:val="21"/>
          <w:szCs w:val="21"/>
        </w:rPr>
        <w:t>to</w:t>
      </w:r>
      <w:r w:rsidRPr="00F71D12">
        <w:rPr>
          <w:sz w:val="21"/>
          <w:szCs w:val="21"/>
        </w:rPr>
        <w:t xml:space="preserve"> the university</w:t>
      </w:r>
      <w:r w:rsidR="001964E5" w:rsidRPr="00F71D12">
        <w:rPr>
          <w:sz w:val="21"/>
          <w:szCs w:val="21"/>
        </w:rPr>
        <w:t xml:space="preserve"> / research team</w:t>
      </w:r>
      <w:r w:rsidRPr="00F71D12">
        <w:rPr>
          <w:sz w:val="21"/>
          <w:szCs w:val="21"/>
        </w:rPr>
        <w:t>.</w:t>
      </w:r>
    </w:p>
    <w:p w:rsidR="00A53D52" w:rsidRPr="00F71D12" w:rsidRDefault="00C86221" w:rsidP="000B26BC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F71D12">
        <w:rPr>
          <w:sz w:val="21"/>
          <w:szCs w:val="21"/>
        </w:rPr>
        <w:t xml:space="preserve">Research </w:t>
      </w:r>
      <w:r w:rsidR="00F22FAA">
        <w:rPr>
          <w:sz w:val="21"/>
          <w:szCs w:val="21"/>
        </w:rPr>
        <w:t xml:space="preserve">inappropriately </w:t>
      </w:r>
      <w:r w:rsidRPr="00F71D12">
        <w:rPr>
          <w:sz w:val="21"/>
          <w:szCs w:val="21"/>
        </w:rPr>
        <w:t>outsourced to non-academic c</w:t>
      </w:r>
      <w:r w:rsidR="00A53D52" w:rsidRPr="00F71D12">
        <w:rPr>
          <w:sz w:val="21"/>
          <w:szCs w:val="21"/>
        </w:rPr>
        <w:t>onsultants</w:t>
      </w:r>
      <w:r w:rsidRPr="00F71D12">
        <w:rPr>
          <w:sz w:val="21"/>
          <w:szCs w:val="21"/>
        </w:rPr>
        <w:t xml:space="preserve"> or inexperienced researchers</w:t>
      </w:r>
      <w:r w:rsidR="00A53D52" w:rsidRPr="00F71D12">
        <w:rPr>
          <w:sz w:val="21"/>
          <w:szCs w:val="21"/>
        </w:rPr>
        <w:t xml:space="preserve">. </w:t>
      </w:r>
    </w:p>
    <w:p w:rsidR="006F05AB" w:rsidRPr="00F71D12" w:rsidRDefault="00C86221" w:rsidP="000B26BC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F71D12">
        <w:rPr>
          <w:sz w:val="21"/>
          <w:szCs w:val="21"/>
        </w:rPr>
        <w:t>Costs associated with</w:t>
      </w:r>
      <w:r w:rsidR="006F05AB" w:rsidRPr="00F71D12">
        <w:rPr>
          <w:sz w:val="21"/>
          <w:szCs w:val="21"/>
        </w:rPr>
        <w:t xml:space="preserve"> attend</w:t>
      </w:r>
      <w:r w:rsidRPr="00F71D12">
        <w:rPr>
          <w:sz w:val="21"/>
          <w:szCs w:val="21"/>
        </w:rPr>
        <w:t>ing conferences</w:t>
      </w:r>
      <w:r w:rsidR="006F05AB" w:rsidRPr="00F71D12">
        <w:rPr>
          <w:sz w:val="21"/>
          <w:szCs w:val="21"/>
        </w:rPr>
        <w:t xml:space="preserve"> </w:t>
      </w:r>
      <w:r w:rsidRPr="00F71D12">
        <w:rPr>
          <w:sz w:val="21"/>
          <w:szCs w:val="21"/>
        </w:rPr>
        <w:t>(which are normally</w:t>
      </w:r>
      <w:r w:rsidR="006F05AB" w:rsidRPr="00F71D12">
        <w:rPr>
          <w:sz w:val="21"/>
          <w:szCs w:val="21"/>
        </w:rPr>
        <w:t xml:space="preserve"> covered by in-kind contributions from the university</w:t>
      </w:r>
      <w:r w:rsidRPr="00F71D12">
        <w:rPr>
          <w:sz w:val="21"/>
          <w:szCs w:val="21"/>
        </w:rPr>
        <w:t>)</w:t>
      </w:r>
      <w:r w:rsidR="0057788C">
        <w:rPr>
          <w:sz w:val="21"/>
          <w:szCs w:val="21"/>
        </w:rPr>
        <w:t>,</w:t>
      </w:r>
      <w:r w:rsidR="008A267E">
        <w:rPr>
          <w:sz w:val="21"/>
          <w:szCs w:val="21"/>
        </w:rPr>
        <w:t xml:space="preserve"> unless </w:t>
      </w:r>
      <w:r w:rsidR="0057788C">
        <w:rPr>
          <w:sz w:val="21"/>
          <w:szCs w:val="21"/>
        </w:rPr>
        <w:t xml:space="preserve">they are </w:t>
      </w:r>
      <w:r w:rsidR="008A267E">
        <w:rPr>
          <w:sz w:val="21"/>
          <w:szCs w:val="21"/>
        </w:rPr>
        <w:t>directly relevant to the project.</w:t>
      </w:r>
    </w:p>
    <w:p w:rsidR="00B12D27" w:rsidRDefault="001C5648" w:rsidP="000B26BC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F71D12">
        <w:rPr>
          <w:sz w:val="21"/>
          <w:szCs w:val="21"/>
        </w:rPr>
        <w:t xml:space="preserve">Travel, accommodation and out-of-pocket expenses </w:t>
      </w:r>
      <w:r w:rsidR="001964E5" w:rsidRPr="00F71D12">
        <w:rPr>
          <w:sz w:val="21"/>
          <w:szCs w:val="21"/>
        </w:rPr>
        <w:t>in excess of</w:t>
      </w:r>
      <w:r w:rsidRPr="00F71D12">
        <w:rPr>
          <w:sz w:val="21"/>
          <w:szCs w:val="21"/>
        </w:rPr>
        <w:t xml:space="preserve"> uni</w:t>
      </w:r>
      <w:r w:rsidR="000B26BC" w:rsidRPr="00F71D12">
        <w:rPr>
          <w:sz w:val="21"/>
          <w:szCs w:val="21"/>
        </w:rPr>
        <w:t>versity</w:t>
      </w:r>
      <w:r w:rsidRPr="00F71D12">
        <w:rPr>
          <w:sz w:val="21"/>
          <w:szCs w:val="21"/>
        </w:rPr>
        <w:t xml:space="preserve"> guidelines.</w:t>
      </w:r>
    </w:p>
    <w:p w:rsidR="00F22FAA" w:rsidRPr="00F22FAA" w:rsidRDefault="00F22FAA" w:rsidP="00F22FAA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The above dot points are guidelines, rather </w:t>
      </w:r>
      <w:r w:rsidR="008D7D8F">
        <w:rPr>
          <w:sz w:val="21"/>
          <w:szCs w:val="21"/>
        </w:rPr>
        <w:t>than rules.  Individual circumstances are taken into account when assessing each proposal.</w:t>
      </w:r>
    </w:p>
    <w:p w:rsidR="00B12D27" w:rsidRPr="00F71D12" w:rsidRDefault="00E549B4" w:rsidP="000B26BC">
      <w:pPr>
        <w:jc w:val="both"/>
        <w:rPr>
          <w:rFonts w:cs="Arial"/>
          <w:b/>
          <w:bCs/>
          <w:color w:val="000000"/>
          <w:sz w:val="21"/>
          <w:szCs w:val="21"/>
        </w:rPr>
      </w:pPr>
      <w:r w:rsidRPr="00F71D12">
        <w:rPr>
          <w:rFonts w:cs="Arial"/>
          <w:b/>
          <w:bCs/>
          <w:color w:val="000000"/>
          <w:sz w:val="21"/>
          <w:szCs w:val="21"/>
        </w:rPr>
        <w:t>Research topics</w:t>
      </w:r>
    </w:p>
    <w:p w:rsidR="00140673" w:rsidRPr="00F71D12" w:rsidRDefault="00140818" w:rsidP="000B26BC">
      <w:pPr>
        <w:jc w:val="both"/>
        <w:rPr>
          <w:rFonts w:cstheme="minorHAnsi"/>
          <w:sz w:val="21"/>
          <w:szCs w:val="21"/>
        </w:rPr>
      </w:pPr>
      <w:r w:rsidRPr="00F71D12">
        <w:rPr>
          <w:rFonts w:cstheme="minorHAnsi"/>
          <w:sz w:val="21"/>
          <w:szCs w:val="21"/>
        </w:rPr>
        <w:t>While CIFR is willing to consider funding research on any topic of fundamental importance</w:t>
      </w:r>
      <w:r w:rsidR="00582752" w:rsidRPr="00F71D12">
        <w:rPr>
          <w:rFonts w:cstheme="minorHAnsi"/>
          <w:sz w:val="21"/>
          <w:szCs w:val="21"/>
        </w:rPr>
        <w:t xml:space="preserve"> to </w:t>
      </w:r>
      <w:r w:rsidR="0057788C">
        <w:rPr>
          <w:rFonts w:cstheme="minorHAnsi"/>
          <w:sz w:val="21"/>
          <w:szCs w:val="21"/>
        </w:rPr>
        <w:t xml:space="preserve">our </w:t>
      </w:r>
      <w:r w:rsidR="00582752" w:rsidRPr="00F71D12">
        <w:rPr>
          <w:rFonts w:cstheme="minorHAnsi"/>
          <w:sz w:val="21"/>
          <w:szCs w:val="21"/>
        </w:rPr>
        <w:t>stakeholders</w:t>
      </w:r>
      <w:r w:rsidRPr="00F71D12">
        <w:rPr>
          <w:rFonts w:cstheme="minorHAnsi"/>
          <w:sz w:val="21"/>
          <w:szCs w:val="21"/>
        </w:rPr>
        <w:t xml:space="preserve">, our research program focuses on three broad </w:t>
      </w:r>
      <w:r w:rsidR="00582752" w:rsidRPr="00F71D12">
        <w:rPr>
          <w:rFonts w:cstheme="minorHAnsi"/>
          <w:sz w:val="21"/>
          <w:szCs w:val="21"/>
        </w:rPr>
        <w:t>theme</w:t>
      </w:r>
      <w:r w:rsidRPr="00F71D12">
        <w:rPr>
          <w:rFonts w:cstheme="minorHAnsi"/>
          <w:sz w:val="21"/>
          <w:szCs w:val="21"/>
        </w:rPr>
        <w:t>s: systemic risk; market and regulatory performance; and financial market developments.</w:t>
      </w:r>
      <w:r w:rsidR="00582752" w:rsidRPr="00F71D12">
        <w:rPr>
          <w:rFonts w:cstheme="minorHAnsi"/>
          <w:sz w:val="21"/>
          <w:szCs w:val="21"/>
        </w:rPr>
        <w:t xml:space="preserve">  These themes can be broken down as follows:</w:t>
      </w:r>
    </w:p>
    <w:p w:rsidR="00D84F21" w:rsidRPr="00F71D12" w:rsidRDefault="00E549B4" w:rsidP="00E263BC">
      <w:pPr>
        <w:spacing w:after="0"/>
        <w:jc w:val="both"/>
        <w:rPr>
          <w:rFonts w:cstheme="minorHAnsi"/>
          <w:b/>
          <w:bCs/>
          <w:i/>
          <w:sz w:val="21"/>
          <w:szCs w:val="21"/>
        </w:rPr>
      </w:pPr>
      <w:r w:rsidRPr="00F71D12">
        <w:rPr>
          <w:rFonts w:cstheme="minorHAnsi"/>
          <w:b/>
          <w:bCs/>
          <w:i/>
          <w:sz w:val="21"/>
          <w:szCs w:val="21"/>
        </w:rPr>
        <w:t>Systemic risk</w:t>
      </w:r>
    </w:p>
    <w:p w:rsidR="00D84F21" w:rsidRPr="00F71D12" w:rsidRDefault="00D84F21" w:rsidP="00E549B4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F71D12">
        <w:rPr>
          <w:sz w:val="21"/>
          <w:szCs w:val="21"/>
        </w:rPr>
        <w:t>Understanding and managing systemic risk</w:t>
      </w:r>
      <w:r w:rsidR="005C5E48" w:rsidRPr="00F71D12">
        <w:rPr>
          <w:sz w:val="21"/>
          <w:szCs w:val="21"/>
        </w:rPr>
        <w:t>;</w:t>
      </w:r>
    </w:p>
    <w:p w:rsidR="00D84F21" w:rsidRPr="00F71D12" w:rsidRDefault="00D84F21" w:rsidP="00E549B4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F71D12">
        <w:rPr>
          <w:sz w:val="21"/>
          <w:szCs w:val="21"/>
        </w:rPr>
        <w:t>Specific systemic risks</w:t>
      </w:r>
      <w:r w:rsidR="005C5E48" w:rsidRPr="00F71D12">
        <w:rPr>
          <w:sz w:val="21"/>
          <w:szCs w:val="21"/>
        </w:rPr>
        <w:t>; and</w:t>
      </w:r>
    </w:p>
    <w:p w:rsidR="006F05AB" w:rsidRPr="00F71D12" w:rsidRDefault="00D84F21" w:rsidP="00E549B4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F71D12">
        <w:rPr>
          <w:sz w:val="21"/>
          <w:szCs w:val="21"/>
        </w:rPr>
        <w:t>Transmission of systemic risk through the global financial system</w:t>
      </w:r>
      <w:r w:rsidR="005C5E48" w:rsidRPr="00F71D12">
        <w:rPr>
          <w:sz w:val="21"/>
          <w:szCs w:val="21"/>
        </w:rPr>
        <w:t>.</w:t>
      </w:r>
    </w:p>
    <w:p w:rsidR="006F05AB" w:rsidRPr="00F71D12" w:rsidRDefault="00E549B4" w:rsidP="00E263BC">
      <w:pPr>
        <w:spacing w:after="0"/>
        <w:jc w:val="both"/>
        <w:rPr>
          <w:rFonts w:cstheme="minorHAnsi"/>
          <w:b/>
          <w:bCs/>
          <w:i/>
          <w:sz w:val="21"/>
          <w:szCs w:val="21"/>
        </w:rPr>
      </w:pPr>
      <w:r w:rsidRPr="00F71D12">
        <w:rPr>
          <w:rFonts w:cstheme="minorHAnsi"/>
          <w:b/>
          <w:bCs/>
          <w:i/>
          <w:sz w:val="21"/>
          <w:szCs w:val="21"/>
        </w:rPr>
        <w:t>Market and regulatory performance</w:t>
      </w:r>
    </w:p>
    <w:p w:rsidR="006F05AB" w:rsidRPr="00F71D12" w:rsidRDefault="006F05AB" w:rsidP="000B26BC">
      <w:pPr>
        <w:jc w:val="both"/>
        <w:rPr>
          <w:rFonts w:cstheme="minorHAnsi"/>
          <w:sz w:val="21"/>
          <w:szCs w:val="21"/>
        </w:rPr>
      </w:pPr>
      <w:r w:rsidRPr="00F71D12">
        <w:rPr>
          <w:rFonts w:cstheme="minorHAnsi"/>
          <w:sz w:val="21"/>
          <w:szCs w:val="21"/>
        </w:rPr>
        <w:t xml:space="preserve">(encompassing </w:t>
      </w:r>
      <w:r w:rsidR="00582752" w:rsidRPr="00F71D12">
        <w:rPr>
          <w:rFonts w:cstheme="minorHAnsi"/>
          <w:sz w:val="21"/>
          <w:szCs w:val="21"/>
        </w:rPr>
        <w:t xml:space="preserve">all forms of </w:t>
      </w:r>
      <w:r w:rsidRPr="00F71D12">
        <w:rPr>
          <w:rFonts w:cstheme="minorHAnsi"/>
          <w:sz w:val="21"/>
          <w:szCs w:val="21"/>
        </w:rPr>
        <w:t>regulation</w:t>
      </w:r>
      <w:r w:rsidR="00582752" w:rsidRPr="00F71D12">
        <w:rPr>
          <w:rFonts w:cstheme="minorHAnsi"/>
          <w:sz w:val="21"/>
          <w:szCs w:val="21"/>
        </w:rPr>
        <w:t>,</w:t>
      </w:r>
      <w:r w:rsidRPr="00F71D12">
        <w:rPr>
          <w:rFonts w:cstheme="minorHAnsi"/>
          <w:sz w:val="21"/>
          <w:szCs w:val="21"/>
        </w:rPr>
        <w:t xml:space="preserve"> </w:t>
      </w:r>
      <w:r w:rsidR="00582752" w:rsidRPr="00F71D12">
        <w:rPr>
          <w:rFonts w:cstheme="minorHAnsi"/>
          <w:sz w:val="21"/>
          <w:szCs w:val="21"/>
        </w:rPr>
        <w:t>such as</w:t>
      </w:r>
      <w:r w:rsidRPr="00F71D12">
        <w:rPr>
          <w:rFonts w:cstheme="minorHAnsi"/>
          <w:sz w:val="21"/>
          <w:szCs w:val="21"/>
        </w:rPr>
        <w:t xml:space="preserve"> legislation, self-regulation codes</w:t>
      </w:r>
      <w:r w:rsidR="00582752" w:rsidRPr="00F71D12">
        <w:rPr>
          <w:rFonts w:cstheme="minorHAnsi"/>
          <w:sz w:val="21"/>
          <w:szCs w:val="21"/>
        </w:rPr>
        <w:t xml:space="preserve"> and</w:t>
      </w:r>
      <w:r w:rsidR="00E549B4" w:rsidRPr="00F71D12">
        <w:rPr>
          <w:rFonts w:cstheme="minorHAnsi"/>
          <w:sz w:val="21"/>
          <w:szCs w:val="21"/>
        </w:rPr>
        <w:t xml:space="preserve"> regulation by the market)</w:t>
      </w:r>
    </w:p>
    <w:p w:rsidR="006F05AB" w:rsidRPr="00F71D12" w:rsidRDefault="006F05AB" w:rsidP="00E549B4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F71D12">
        <w:rPr>
          <w:sz w:val="21"/>
          <w:szCs w:val="21"/>
        </w:rPr>
        <w:t>Informed regulation</w:t>
      </w:r>
      <w:r w:rsidR="00582752" w:rsidRPr="00F71D12">
        <w:rPr>
          <w:sz w:val="21"/>
          <w:szCs w:val="21"/>
        </w:rPr>
        <w:t>;</w:t>
      </w:r>
    </w:p>
    <w:p w:rsidR="006F05AB" w:rsidRPr="00F71D12" w:rsidRDefault="006F05AB" w:rsidP="00E549B4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F71D12">
        <w:rPr>
          <w:sz w:val="21"/>
          <w:szCs w:val="21"/>
        </w:rPr>
        <w:t>Regulatory system architecture</w:t>
      </w:r>
      <w:r w:rsidR="00582752" w:rsidRPr="00F71D12">
        <w:rPr>
          <w:sz w:val="21"/>
          <w:szCs w:val="21"/>
        </w:rPr>
        <w:t>;</w:t>
      </w:r>
    </w:p>
    <w:p w:rsidR="006F05AB" w:rsidRPr="00F71D12" w:rsidRDefault="006F05AB" w:rsidP="00E549B4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F71D12">
        <w:rPr>
          <w:sz w:val="21"/>
          <w:szCs w:val="21"/>
        </w:rPr>
        <w:t>Regulatory performance and reform (e.g. assessment of performance, enforcement experience, prudential and accounting standards)</w:t>
      </w:r>
      <w:r w:rsidR="00582752" w:rsidRPr="00F71D12">
        <w:rPr>
          <w:sz w:val="21"/>
          <w:szCs w:val="21"/>
        </w:rPr>
        <w:t>;</w:t>
      </w:r>
    </w:p>
    <w:p w:rsidR="006F05AB" w:rsidRPr="00F71D12" w:rsidRDefault="006F05AB" w:rsidP="00E549B4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F71D12">
        <w:rPr>
          <w:sz w:val="21"/>
          <w:szCs w:val="21"/>
        </w:rPr>
        <w:t>Superannuation / managed funds</w:t>
      </w:r>
      <w:r w:rsidR="00582752" w:rsidRPr="00F71D12">
        <w:rPr>
          <w:sz w:val="21"/>
          <w:szCs w:val="21"/>
        </w:rPr>
        <w:t>;</w:t>
      </w:r>
    </w:p>
    <w:p w:rsidR="006F05AB" w:rsidRPr="00F71D12" w:rsidRDefault="006F05AB" w:rsidP="00E549B4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F71D12">
        <w:rPr>
          <w:sz w:val="21"/>
          <w:szCs w:val="21"/>
        </w:rPr>
        <w:t>Effective measures for financial consumer</w:t>
      </w:r>
      <w:r w:rsidR="00582752" w:rsidRPr="00F71D12">
        <w:rPr>
          <w:sz w:val="21"/>
          <w:szCs w:val="21"/>
        </w:rPr>
        <w:t xml:space="preserve"> </w:t>
      </w:r>
      <w:r w:rsidRPr="00F71D12">
        <w:rPr>
          <w:sz w:val="21"/>
          <w:szCs w:val="21"/>
        </w:rPr>
        <w:t>/</w:t>
      </w:r>
      <w:r w:rsidR="00582752" w:rsidRPr="00F71D12">
        <w:rPr>
          <w:sz w:val="21"/>
          <w:szCs w:val="21"/>
        </w:rPr>
        <w:t xml:space="preserve"> </w:t>
      </w:r>
      <w:r w:rsidRPr="00F71D12">
        <w:rPr>
          <w:sz w:val="21"/>
          <w:szCs w:val="21"/>
        </w:rPr>
        <w:t>investor protection</w:t>
      </w:r>
      <w:r w:rsidR="00582752" w:rsidRPr="00F71D12">
        <w:rPr>
          <w:sz w:val="21"/>
          <w:szCs w:val="21"/>
        </w:rPr>
        <w:t>; and</w:t>
      </w:r>
    </w:p>
    <w:p w:rsidR="006F05AB" w:rsidRPr="00F71D12" w:rsidRDefault="006F05AB" w:rsidP="00E549B4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F71D12">
        <w:rPr>
          <w:sz w:val="21"/>
          <w:szCs w:val="21"/>
        </w:rPr>
        <w:t>Development of new markets (e.g. corporate bonds, carbon emission and other environmentally</w:t>
      </w:r>
      <w:r w:rsidR="00582752" w:rsidRPr="00F71D12">
        <w:rPr>
          <w:sz w:val="21"/>
          <w:szCs w:val="21"/>
        </w:rPr>
        <w:t>-</w:t>
      </w:r>
      <w:r w:rsidRPr="00F71D12">
        <w:rPr>
          <w:sz w:val="21"/>
          <w:szCs w:val="21"/>
        </w:rPr>
        <w:t>motivated markets)</w:t>
      </w:r>
      <w:r w:rsidR="00582752" w:rsidRPr="00F71D12">
        <w:rPr>
          <w:sz w:val="21"/>
          <w:szCs w:val="21"/>
        </w:rPr>
        <w:t>.</w:t>
      </w:r>
    </w:p>
    <w:p w:rsidR="00D84F21" w:rsidRPr="00F71D12" w:rsidRDefault="00D84F21" w:rsidP="00E263BC">
      <w:pPr>
        <w:spacing w:after="0"/>
        <w:jc w:val="both"/>
        <w:rPr>
          <w:rFonts w:cstheme="minorHAnsi"/>
          <w:b/>
          <w:bCs/>
          <w:i/>
          <w:sz w:val="21"/>
          <w:szCs w:val="21"/>
        </w:rPr>
      </w:pPr>
      <w:r w:rsidRPr="00F71D12">
        <w:rPr>
          <w:rFonts w:cstheme="minorHAnsi"/>
          <w:b/>
          <w:bCs/>
          <w:sz w:val="21"/>
          <w:szCs w:val="21"/>
        </w:rPr>
        <w:t> </w:t>
      </w:r>
      <w:r w:rsidR="00E549B4" w:rsidRPr="00F71D12">
        <w:rPr>
          <w:rFonts w:cstheme="minorHAnsi"/>
          <w:b/>
          <w:bCs/>
          <w:i/>
          <w:sz w:val="21"/>
          <w:szCs w:val="21"/>
        </w:rPr>
        <w:t>Financial market developments</w:t>
      </w:r>
    </w:p>
    <w:p w:rsidR="00D84F21" w:rsidRPr="00F71D12" w:rsidRDefault="00D84F21" w:rsidP="00E549B4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F71D12">
        <w:rPr>
          <w:sz w:val="21"/>
          <w:szCs w:val="21"/>
        </w:rPr>
        <w:t>Market quality measurements</w:t>
      </w:r>
      <w:r w:rsidR="00582752" w:rsidRPr="00F71D12">
        <w:rPr>
          <w:sz w:val="21"/>
          <w:szCs w:val="21"/>
        </w:rPr>
        <w:t>;</w:t>
      </w:r>
    </w:p>
    <w:p w:rsidR="00D84F21" w:rsidRPr="00F71D12" w:rsidRDefault="00D84F21" w:rsidP="00E549B4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F71D12">
        <w:rPr>
          <w:sz w:val="21"/>
          <w:szCs w:val="21"/>
        </w:rPr>
        <w:t xml:space="preserve">Market </w:t>
      </w:r>
      <w:r w:rsidR="00582752" w:rsidRPr="00F71D12">
        <w:rPr>
          <w:sz w:val="21"/>
          <w:szCs w:val="21"/>
        </w:rPr>
        <w:t>i</w:t>
      </w:r>
      <w:r w:rsidRPr="00F71D12">
        <w:rPr>
          <w:sz w:val="21"/>
          <w:szCs w:val="21"/>
        </w:rPr>
        <w:t>nnovation, complexity and integrity (</w:t>
      </w:r>
      <w:r w:rsidR="00582752" w:rsidRPr="00F71D12">
        <w:rPr>
          <w:sz w:val="21"/>
          <w:szCs w:val="21"/>
        </w:rPr>
        <w:t xml:space="preserve">covering </w:t>
      </w:r>
      <w:r w:rsidRPr="00F71D12">
        <w:rPr>
          <w:sz w:val="21"/>
          <w:szCs w:val="21"/>
        </w:rPr>
        <w:t>products, services, technologies, markets, payment systems, counterparty risk</w:t>
      </w:r>
      <w:r w:rsidR="00582752" w:rsidRPr="00F71D12">
        <w:rPr>
          <w:sz w:val="21"/>
          <w:szCs w:val="21"/>
        </w:rPr>
        <w:t>,</w:t>
      </w:r>
      <w:r w:rsidRPr="00F71D12">
        <w:rPr>
          <w:sz w:val="21"/>
          <w:szCs w:val="21"/>
        </w:rPr>
        <w:t xml:space="preserve"> outsourcing)</w:t>
      </w:r>
      <w:r w:rsidR="00582752" w:rsidRPr="00F71D12">
        <w:rPr>
          <w:sz w:val="21"/>
          <w:szCs w:val="21"/>
        </w:rPr>
        <w:t>;</w:t>
      </w:r>
    </w:p>
    <w:p w:rsidR="00D84F21" w:rsidRPr="00F71D12" w:rsidRDefault="00D84F21" w:rsidP="00E549B4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F71D12">
        <w:rPr>
          <w:sz w:val="21"/>
          <w:szCs w:val="21"/>
        </w:rPr>
        <w:t>International capital markets (</w:t>
      </w:r>
      <w:r w:rsidR="00582752" w:rsidRPr="00F71D12">
        <w:rPr>
          <w:sz w:val="21"/>
          <w:szCs w:val="21"/>
        </w:rPr>
        <w:t xml:space="preserve">including </w:t>
      </w:r>
      <w:r w:rsidRPr="00F71D12">
        <w:rPr>
          <w:sz w:val="21"/>
          <w:szCs w:val="21"/>
        </w:rPr>
        <w:t>risks and benefits in flows, diversification</w:t>
      </w:r>
      <w:r w:rsidR="00582752" w:rsidRPr="00F71D12">
        <w:rPr>
          <w:sz w:val="21"/>
          <w:szCs w:val="21"/>
        </w:rPr>
        <w:t>,</w:t>
      </w:r>
      <w:r w:rsidRPr="00F71D12">
        <w:rPr>
          <w:sz w:val="21"/>
          <w:szCs w:val="21"/>
        </w:rPr>
        <w:t xml:space="preserve"> different regulatory frameworks)</w:t>
      </w:r>
      <w:r w:rsidR="00582752" w:rsidRPr="00F71D12">
        <w:rPr>
          <w:sz w:val="21"/>
          <w:szCs w:val="21"/>
        </w:rPr>
        <w:t>; and</w:t>
      </w:r>
    </w:p>
    <w:p w:rsidR="007D317B" w:rsidRPr="00F22FAA" w:rsidRDefault="00D84F21" w:rsidP="00761258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F22FAA">
        <w:rPr>
          <w:sz w:val="21"/>
          <w:szCs w:val="21"/>
        </w:rPr>
        <w:t>Financial market integration</w:t>
      </w:r>
      <w:r w:rsidR="00E549B4" w:rsidRPr="00F22FAA">
        <w:rPr>
          <w:sz w:val="21"/>
          <w:szCs w:val="21"/>
        </w:rPr>
        <w:t>.</w:t>
      </w:r>
    </w:p>
    <w:sectPr w:rsidR="007D317B" w:rsidRPr="00F22FAA" w:rsidSect="00B12D27">
      <w:footerReference w:type="default" r:id="rId9"/>
      <w:pgSz w:w="11906" w:h="16838"/>
      <w:pgMar w:top="1440" w:right="1440" w:bottom="90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88C" w:rsidRDefault="0057788C" w:rsidP="0057788C">
      <w:pPr>
        <w:spacing w:after="0" w:line="240" w:lineRule="auto"/>
      </w:pPr>
      <w:r>
        <w:separator/>
      </w:r>
    </w:p>
  </w:endnote>
  <w:endnote w:type="continuationSeparator" w:id="0">
    <w:p w:rsidR="0057788C" w:rsidRDefault="0057788C" w:rsidP="00577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9624334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:rsidR="0057788C" w:rsidRPr="0057788C" w:rsidRDefault="0057788C">
        <w:pPr>
          <w:pStyle w:val="Footer"/>
          <w:jc w:val="center"/>
          <w:rPr>
            <w:sz w:val="18"/>
            <w:szCs w:val="18"/>
          </w:rPr>
        </w:pPr>
        <w:r w:rsidRPr="0057788C">
          <w:rPr>
            <w:sz w:val="18"/>
            <w:szCs w:val="18"/>
          </w:rPr>
          <w:fldChar w:fldCharType="begin"/>
        </w:r>
        <w:r w:rsidRPr="0057788C">
          <w:rPr>
            <w:sz w:val="18"/>
            <w:szCs w:val="18"/>
          </w:rPr>
          <w:instrText xml:space="preserve"> PAGE   \* MERGEFORMAT </w:instrText>
        </w:r>
        <w:r w:rsidRPr="0057788C">
          <w:rPr>
            <w:sz w:val="18"/>
            <w:szCs w:val="18"/>
          </w:rPr>
          <w:fldChar w:fldCharType="separate"/>
        </w:r>
        <w:r w:rsidR="006B672D">
          <w:rPr>
            <w:noProof/>
            <w:sz w:val="18"/>
            <w:szCs w:val="18"/>
          </w:rPr>
          <w:t>1</w:t>
        </w:r>
        <w:r w:rsidRPr="0057788C">
          <w:rPr>
            <w:noProof/>
            <w:sz w:val="18"/>
            <w:szCs w:val="18"/>
          </w:rPr>
          <w:fldChar w:fldCharType="end"/>
        </w:r>
      </w:p>
    </w:sdtContent>
  </w:sdt>
  <w:p w:rsidR="0057788C" w:rsidRDefault="005778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88C" w:rsidRDefault="0057788C" w:rsidP="0057788C">
      <w:pPr>
        <w:spacing w:after="0" w:line="240" w:lineRule="auto"/>
      </w:pPr>
      <w:r>
        <w:separator/>
      </w:r>
    </w:p>
  </w:footnote>
  <w:footnote w:type="continuationSeparator" w:id="0">
    <w:p w:rsidR="0057788C" w:rsidRDefault="0057788C" w:rsidP="00577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45729"/>
    <w:multiLevelType w:val="hybridMultilevel"/>
    <w:tmpl w:val="AFE097A8"/>
    <w:lvl w:ilvl="0" w:tplc="9000E1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01B14"/>
    <w:multiLevelType w:val="hybridMultilevel"/>
    <w:tmpl w:val="7BACE2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D29D0"/>
    <w:multiLevelType w:val="hybridMultilevel"/>
    <w:tmpl w:val="C6BEF3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962B15"/>
    <w:multiLevelType w:val="multilevel"/>
    <w:tmpl w:val="F084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465C5C"/>
    <w:multiLevelType w:val="hybridMultilevel"/>
    <w:tmpl w:val="1E8418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204FC9"/>
    <w:multiLevelType w:val="hybridMultilevel"/>
    <w:tmpl w:val="7324AB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F6A25"/>
    <w:multiLevelType w:val="hybridMultilevel"/>
    <w:tmpl w:val="BD98FE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E16781"/>
    <w:multiLevelType w:val="hybridMultilevel"/>
    <w:tmpl w:val="2072009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935363F"/>
    <w:multiLevelType w:val="multilevel"/>
    <w:tmpl w:val="8FE6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332DB8"/>
    <w:multiLevelType w:val="multilevel"/>
    <w:tmpl w:val="60B4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6"/>
  </w:num>
  <w:num w:numId="9">
    <w:abstractNumId w:val="7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965"/>
    <w:rsid w:val="0004113E"/>
    <w:rsid w:val="000B26BC"/>
    <w:rsid w:val="00140673"/>
    <w:rsid w:val="00140818"/>
    <w:rsid w:val="001547A5"/>
    <w:rsid w:val="0016059B"/>
    <w:rsid w:val="001718C2"/>
    <w:rsid w:val="00181E55"/>
    <w:rsid w:val="001964E5"/>
    <w:rsid w:val="001A3373"/>
    <w:rsid w:val="001C5648"/>
    <w:rsid w:val="00226C1C"/>
    <w:rsid w:val="00234FA7"/>
    <w:rsid w:val="0028079C"/>
    <w:rsid w:val="00321F12"/>
    <w:rsid w:val="00366FCB"/>
    <w:rsid w:val="003F7FB4"/>
    <w:rsid w:val="00411F11"/>
    <w:rsid w:val="004313E1"/>
    <w:rsid w:val="00477BE1"/>
    <w:rsid w:val="00495152"/>
    <w:rsid w:val="004D025A"/>
    <w:rsid w:val="004D47D5"/>
    <w:rsid w:val="00517BC9"/>
    <w:rsid w:val="005774DA"/>
    <w:rsid w:val="0057788C"/>
    <w:rsid w:val="00582752"/>
    <w:rsid w:val="005C5E48"/>
    <w:rsid w:val="006007A9"/>
    <w:rsid w:val="00623642"/>
    <w:rsid w:val="00673D09"/>
    <w:rsid w:val="006B672D"/>
    <w:rsid w:val="006E429E"/>
    <w:rsid w:val="006F05AB"/>
    <w:rsid w:val="00760C5C"/>
    <w:rsid w:val="00761258"/>
    <w:rsid w:val="007D317B"/>
    <w:rsid w:val="008435D9"/>
    <w:rsid w:val="008A267E"/>
    <w:rsid w:val="008D704E"/>
    <w:rsid w:val="008D7682"/>
    <w:rsid w:val="008D7D8F"/>
    <w:rsid w:val="00922BA5"/>
    <w:rsid w:val="009437D2"/>
    <w:rsid w:val="009D14BA"/>
    <w:rsid w:val="009E4641"/>
    <w:rsid w:val="00A1503E"/>
    <w:rsid w:val="00A35A0E"/>
    <w:rsid w:val="00A42C01"/>
    <w:rsid w:val="00A53D52"/>
    <w:rsid w:val="00A7186B"/>
    <w:rsid w:val="00AC7FAC"/>
    <w:rsid w:val="00B10542"/>
    <w:rsid w:val="00B12D27"/>
    <w:rsid w:val="00B532AF"/>
    <w:rsid w:val="00B77965"/>
    <w:rsid w:val="00BF109E"/>
    <w:rsid w:val="00C36359"/>
    <w:rsid w:val="00C50EC2"/>
    <w:rsid w:val="00C76BC6"/>
    <w:rsid w:val="00C86221"/>
    <w:rsid w:val="00CF099A"/>
    <w:rsid w:val="00D3216D"/>
    <w:rsid w:val="00D84F21"/>
    <w:rsid w:val="00DC4D57"/>
    <w:rsid w:val="00E05E81"/>
    <w:rsid w:val="00E076B3"/>
    <w:rsid w:val="00E263BC"/>
    <w:rsid w:val="00E5181C"/>
    <w:rsid w:val="00E549B4"/>
    <w:rsid w:val="00EA0F61"/>
    <w:rsid w:val="00EE0CCF"/>
    <w:rsid w:val="00F109BC"/>
    <w:rsid w:val="00F20373"/>
    <w:rsid w:val="00F22FAA"/>
    <w:rsid w:val="00F7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5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7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FA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18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18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18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18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186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77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88C"/>
  </w:style>
  <w:style w:type="paragraph" w:styleId="Footer">
    <w:name w:val="footer"/>
    <w:basedOn w:val="Normal"/>
    <w:link w:val="FooterChar"/>
    <w:uiPriority w:val="99"/>
    <w:unhideWhenUsed/>
    <w:rsid w:val="00577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8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5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7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FA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18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18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18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18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186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77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88C"/>
  </w:style>
  <w:style w:type="paragraph" w:styleId="Footer">
    <w:name w:val="footer"/>
    <w:basedOn w:val="Normal"/>
    <w:link w:val="FooterChar"/>
    <w:uiPriority w:val="99"/>
    <w:unhideWhenUsed/>
    <w:rsid w:val="00577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6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856</Words>
  <Characters>4885</Characters>
  <Application>Microsoft Office Word</Application>
  <DocSecurity>4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South Wales</Company>
  <LinksUpToDate>false</LinksUpToDate>
  <CharactersWithSpaces>5730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Evelyn Mike</dc:creator>
  <cp:lastModifiedBy>Evelyn Mike</cp:lastModifiedBy>
  <cp:revision>2</cp:revision>
  <cp:lastPrinted>2014-09-15T00:00:00Z</cp:lastPrinted>
  <dcterms:created xsi:type="dcterms:W3CDTF">2014-09-16T00:32:00Z</dcterms:created>
  <dcterms:modified xsi:type="dcterms:W3CDTF">2014-09-16T00:32:00Z</dcterms:modified>
</cp:coreProperties>
</file>