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 — INTERN DOCUMENT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52"/>
          <w:szCs w:val="52"/>
        </w:rPr>
        <w:t xml:space="preserve">Beveiligingsmaatregelen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Vita Health Platform — technische en organisatorische maatregelen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Documentversie 1.1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Datum: 18 augustus 2026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Vervangt: versie 1.0 (8 juni 2026)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1F1683"/>
        </w:rPr>
        <w:t xml:space="preserve">Inhoudsopgave</w:t>
      </w:r>
    </w:p>
    <w:sdt>
      <w:sdtPr>
        <w:alias w:val="Inhoud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</w:pPr>
      <w:r>
        <w:rPr>
          <w:color w:val="1E293B"/>
        </w:rPr>
        <w:t xml:space="preserve">Dit document beschrijft de technische en organisatorische beveiligingsmaatregelen van het Vita Health Platform. Het is een momentopname en wordt bijgewerkt bij belangrijke wijzigingen. Volledige AVG-compliance vereist naast deze maatregelen ook aantoonbare processen (DPIA, verwerkersregister, verwerkersovereenkomsten).</w:t>
      </w:r>
    </w:p>
    <w:tbl>
      <w:tblPr>
        <w:tblW w:type="dxa" w:w="9000"/>
        <w:tblBorders>
          <w:top w:val="single" w:color="10B981" w:sz="2"/>
          <w:left w:val="single" w:color="10B981" w:sz="12"/>
          <w:bottom w:val="single" w:color="10B981" w:sz="2"/>
          <w:right w:val="single" w:color="10B98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CFDF5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</w:rPr>
              <w:t xml:space="preserve">Belangrijkste wijzigingen sinds v1.0 (juni–augustus 2026):</w:t>
            </w:r>
            <w:r>
              <w:rPr>
                <w:color w:val="1E293B"/>
              </w:rPr>
              <w:t xml:space="preserve"> (1) de </w:t>
            </w:r>
            <w:r>
              <w:rPr>
                <w:b/>
                <w:bCs/>
                <w:color w:val="1E293B"/>
              </w:rPr>
              <w:t xml:space="preserve">PII-kluis</w:t>
            </w:r>
            <w:r>
              <w:rPr>
                <w:color w:val="1E293B"/>
              </w:rPr>
              <w:t xml:space="preserve"> — herleidbare persoonsgegevens zijn fysiek gescheiden van de medische gegevens en per veld versleuteld, met de sleutel buiten de database (hoofdstuk 12); (2) de </w:t>
            </w:r>
            <w:r>
              <w:rPr>
                <w:b/>
                <w:bCs/>
                <w:color w:val="1E293B"/>
              </w:rPr>
              <w:t xml:space="preserve">betaalmuur</w:t>
            </w:r>
            <w:r>
              <w:rPr>
                <w:color w:val="1E293B"/>
              </w:rPr>
              <w:t xml:space="preserve"> met Mollie, versleutelde kopergegevens en gatenloze factuurnummering (hoofdstuk 13); (3) </w:t>
            </w:r>
            <w:r>
              <w:rPr>
                <w:b/>
                <w:bCs/>
                <w:color w:val="1E293B"/>
              </w:rPr>
              <w:t xml:space="preserve">server-hardening</w:t>
            </w:r>
            <w:r>
              <w:rPr>
                <w:color w:val="1E293B"/>
              </w:rPr>
              <w:t xml:space="preserve"> van beide TransIP-servers en het Coolify-paneel (hoofdstuk 9); (4) </w:t>
            </w:r>
            <w:r>
              <w:rPr>
                <w:b/>
                <w:bCs/>
                <w:color w:val="1E293B"/>
              </w:rPr>
              <w:t xml:space="preserve">sleutelbeheer, retentie en een jaarplanning</w:t>
            </w:r>
            <w:r>
              <w:rPr>
                <w:color w:val="1E293B"/>
              </w:rPr>
              <w:t xml:space="preserve"> voor periodieke controles (hoofdstuk 14).</w:t>
            </w:r>
          </w:p>
        </w:tc>
      </w:tr>
    </w:tbl>
    <w:p>
      <w:pPr>
        <w:spacing w:after="60"/>
      </w:pP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Authenticatie &amp; toegangsbeheer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Verplichte tweefactorauthenticatie (2FA/TOTP) voor alle medewerkers; zonder geverifieerde tweede factor geen toegang tot het dashboard.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Automatische uitlog na 5 minuten inactiviteit.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Rate limiting op inloggen: na 3 mislukte pogingen tijdelijke blokkade, na 6 pogingen langdurige blokkade.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Cliënten benaderen het portaal via onraadbare, token-gebaseerde links (geen e-mailadres in de URL).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Nieuwe medewerkers worden via e-mailuitnodiging toegevoegd en stellen zelf een sterk wachtwoord (min. 12 tekens) en 2FA in.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Autorisatie &amp; rollenmodel</w:t>
      </w:r>
    </w:p>
    <w:p>
      <w:pPr>
        <w:spacing w:after="120"/>
      </w:pPr>
      <w:r>
        <w:rPr>
          <w:color w:val="1E293B"/>
        </w:rPr>
        <w:t xml:space="preserve">Rollen worden server- én databasezijde afgedwongen, niet alleen in de interface.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168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5800"/>
            <w:shd w:fill="1F168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Toegang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Admin</w:t>
            </w:r>
          </w:p>
        </w:tc>
        <w:tc>
          <w:tcPr>
            <w:tcW w:type="dxa" w:w="5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Volledig beheer: auditlog, alerts, medewerkers, toestemmingen, bestellingen, omzet, kortingscodes, resellers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Arts / Leefstijlarts</w:t>
            </w:r>
          </w:p>
        </w:tc>
        <w:tc>
          <w:tcPr>
            <w:tcW w:type="dxa" w:w="5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Dashboard + medische uitslagen en vragenlijstresultaten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Medewerker</w:t>
            </w:r>
          </w:p>
        </w:tc>
        <w:tc>
          <w:tcPr>
            <w:tcW w:type="dxa" w:w="5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Dashboard zonder medische uitslagen en zonder geboortedatum (dataminimalisatie)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Cliënt (portaal)</w:t>
            </w:r>
          </w:p>
        </w:tc>
        <w:tc>
          <w:tcPr>
            <w:tcW w:type="dxa" w:w="5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Uitsluitend eigen aanmelding en status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Row Level Security (RLS) actief op alle gevoelige tabellen; de identiteitskluis is bovendien volledig afgesloten voor alle applicatierollen (alleen server-side toegang, zie hoofdstuk 12).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Actie-toewijzing op het dashboard is rol-bewust: arts-acties kunnen alleen aan artsen worden toegewezen; server-side gevalideerd.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Admin-functies (auditlog, medewerkers, toestemmingen, financiële schermen) zijn afgeschermd met server-side rolcontrole en redirect.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Cliënt-schrijfacties (persoonsgegevens) lopen uitsluitend via server routes met rol- en statuscontrole; de browser schrijft geen persoonsgegevens meer rechtstreeks naar de database.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Invoervalidatie &amp; injectiepreventie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UUID-validatie op alle route-parameters.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Schema-validatie (Zod) op API-routes die invoer verwerken.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Geparametriseerde queries via de Supabase-client — geen samengestelde SQL.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HTML-escaping van gebruikersinvoer in e-mails (XSS-preventie).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Secrets uitsluitend server-side; nooit in NEXT_PUBLIC-variabelen, logs of repository.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Medische auditlog (NEN 7513)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Wat wordt vastgelegd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Aanmaken, wijzigen en verwijderen van: cliënten, testkits, toestemmingen (+ versies), notities, documenten, vragenlijst-opdrachten/antwoorden, intake-uitnodigingen, medewerkers, batches, actie-toewijzingen, alerts, aanvragen, bedrijven en arbodiensten — automatisch via database-triggers.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Leesacties: inzage cliëntdossier en vragenlijstresultaten.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Exports (Excel) — blokkerend: zonder log geen export; inclusief het aantal ontsleutelde identiteiten per export (bulk-ontsleuteling, nieuw in v1.1).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E-mailverzendingen: uitnodiging, herinnering, goedkeuring, hervatten, factuur.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Statuswijzigingen, de geschiktheidsverklaring, terugbetalingen en het anonimiseren van dossiers (blokkerend, nieuw in v1.1).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PII-sleutelrotatie-runs (nieuw in v1.1).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Hoe het is geborgd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Append-only: wijzigen en verwijderen van auditregels is voor alle applicatierollen geblokkeerd.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Vastlegging van "wie": ingelogde gebruiker (auth-sessie) of de verantwoordelijke medewerker.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IP-adressen en sessie-IDs worden gehasht opgeslagen, nooit als ruwe waarde.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Privacy: nooit medische inhoud of vrije tekst in de log — alleen identificatoren en een veilige set statusvelden.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Externe kopie naar Better Stack (log drain): zelfs bij compromittering van de database blijft een onafhankelijke kopie bestaan.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Inzichtelijk voor admins via een aparte auditlog-pagina met filters.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5. Geautomatiseerde alertdetectie</w:t>
      </w:r>
    </w:p>
    <w:p>
      <w:pPr>
        <w:spacing w:after="120"/>
      </w:pPr>
      <w:r>
        <w:rPr>
          <w:color w:val="1E293B"/>
        </w:rPr>
        <w:t xml:space="preserve">Een periodieke controle (elke 15 minuten) signaleert verdacht gedrag en toont alerts bovenaan het dashboard voor admins.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168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Alert</w:t>
            </w:r>
          </w:p>
        </w:tc>
        <w:tc>
          <w:tcPr>
            <w:tcW w:type="dxa" w:w="5800"/>
            <w:shd w:fill="1F168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Drempel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Bulk-inzage dossiers</w:t>
            </w:r>
          </w:p>
        </w:tc>
        <w:tc>
          <w:tcPr>
            <w:tcW w:type="dxa" w:w="5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&gt; 15 in 60 minuten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Bulk-inzage resultaten</w:t>
            </w:r>
          </w:p>
        </w:tc>
        <w:tc>
          <w:tcPr>
            <w:tcW w:type="dxa" w:w="5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&gt; 10 in 30 minuten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Veel exports</w:t>
            </w:r>
          </w:p>
        </w:tc>
        <w:tc>
          <w:tcPr>
            <w:tcW w:type="dxa" w:w="5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&gt; 3 in 24 uur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Export buiten werktijd</w:t>
            </w:r>
          </w:p>
        </w:tc>
        <w:tc>
          <w:tcPr>
            <w:tcW w:type="dxa" w:w="5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weekend of buiten 07:00–19:00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Herhaalde toegangsweigering</w:t>
            </w:r>
          </w:p>
        </w:tc>
        <w:tc>
          <w:tcPr>
            <w:tcW w:type="dxa" w:w="58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&gt; 5 in 10 minuten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6. Privacy &amp; AVG-compliance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Vier toestemmingsverklaringen op basis van AVG art. 6 en art. 9 (bijzondere persoonsgegevens).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Toestemmingen zijn beheerbaar met versiebeheer: een admin kan teksten aanpassen; elke wijziging wordt als nieuwe versie opgeslagen. Per cliënt is vastgelegd welke versie is geaccepteerd.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Met Nightingale Health worden uitsluitend een pseudoniem persoon-ID (Subject ID), geboortedatum, geslacht en een samplecode gedeeld — geen naam of contactgegevens.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Herleidbare persoonsgegevens zijn gescheiden en versleuteld opgeslagen in de PII-kluis (hoofdstuk 12); afgeronde dossiers kunnen met één handeling worden geanonimiseerd (hoofdstuk 14).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Deelnemersinformatie en privacyverklaring beschikbaar als PDF en gelinkt in uitnodiging en formulier.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Volledige vrijwilligheid: deelnemer kan op elk moment stoppen; stopzetting met terugbetaling loopt via de helpdesk en wordt door een admin verwerkt.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Zoekmachine-indexering uitgeschakeld (robots noindex) op alle pagina’s.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7. Medische geschiktheidscheck (contra-indicaties)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Vóór de vragenlijst krijgt de deelnemer een lijst met uitsluitingscriteria (o.a. bloedingsstoornis, zwangerschap, bloedverdunners, recente operatie/transfusie).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De verklaring (wel/niet van toepassing) wordt server-side en manipulatievrij opgeslagen, inclusief de getoonde tekstversie en het tijdstip.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Bij een mogelijke contra-indicatie wordt de aanmelding geblokkeerd (on hold) en verschijnt een opvallende waarschuwing op de cliëntpagina; een arts neemt contact op.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De arts kan de blokkade na overleg opheffen (deelnemer mag door) of de intake stoppen.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8. Datalek &amp; incidentrespons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Een apart noodplan beschrijft hoe je bij een incident snel inlogs stopt, sessies beëindigt, accounts blokkeert of de app offline haalt.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Meldplicht datalek binnen 72 uur bij de Autoriteit Persoonsgegevens; het noodplan bevat de triage en stappen.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De auditlog en de externe log-kopie ondersteunen forensisch onderzoek na een incident.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De PII-kluis verkleint de impact van een database-zijdig datalek wezenlijk: medische gegevens zijn naamloos en identiteiten onleesbaar zonder de sleutel (hoofdstuk 12).</w:t>
      </w:r>
    </w:p>
    <w:p>
      <w:pPr>
        <w:spacing w:after="120"/>
      </w:pPr>
      <w:r>
        <w:rPr>
          <w:color w:val="1E293B"/>
        </w:rPr>
        <w:t xml:space="preserve">Zie het bijbehorende document: "Noodplan — Beveiligingsincident".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9. Infrastructuur &amp; serverbeveiliging</w:t>
      </w:r>
    </w:p>
    <w:tbl>
      <w:tblPr>
        <w:tblW w:type="dxa" w:w="9000"/>
        <w:tblBorders>
          <w:top w:val="single" w:color="10B981" w:sz="2"/>
          <w:left w:val="single" w:color="10B981" w:sz="12"/>
          <w:bottom w:val="single" w:color="10B981" w:sz="2"/>
          <w:right w:val="single" w:color="10B98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CFDF5" w:color="auto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</w:rPr>
              <w:t xml:space="preserve">Bijgewerkt in v1.1</w:t>
            </w:r>
            <w:r>
              <w:rPr>
                <w:color w:val="1E293B"/>
              </w:rPr>
              <w:t xml:space="preserve">: de twee TransIP-servers en het Coolify-beheerpaneel zijn gehard volgens de server-hardening-checklist (firewall-allowlists, uitsluitend sleutel-login, fail2ban, automatische security-updates).</w:t>
            </w:r>
          </w:p>
        </w:tc>
      </w:tr>
    </w:tbl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Applicatie &amp; build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Multi-stage Docker-build (node:22-alpine); geen ontwikkelafhankelijkheden in de productie-image.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Container draait als non-root gebruiker.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TypeScript strict mode — type-veiligheid afgedwongen bij elke build.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Server-side secrets (service-role key, API-keys, PII-sleutels, audit-salt, cron-secret) buiten de client-bundle.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Deployment via Coolify met automatische redeploy bij push naar de hoofdbranch.</w:t>
      </w:r>
    </w:p>
    <w:p>
      <w:pPr>
        <w:pStyle w:val="Heading2"/>
        <w:spacing w:after="80" w:before="200"/>
      </w:pPr>
      <w:r>
        <w:rPr>
          <w:b/>
          <w:bCs/>
          <w:color w:val="1E293B"/>
        </w:rPr>
        <w:t xml:space="preserve">Servers &amp; netwerk (nieuw in v1.1)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TransIP VPS-firewall: het Coolify-beheerpaneel en SSH zijn uitsluitend bereikbaar vanaf een IP-allowlist; op de applicatieserver staan alleen 80/443 publiek open. Overbodige poorten (o.a. inkomend SMTP) zijn gesloten.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SSH: uitsluitend sleutel-authenticatie (wachtwoord-login uitgeschakeld op beide servers, inclusief het corrigeren van een cloud-init-standaard die wachtwoordlogin openliet); root-login zonder sleutel onmogelijk.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fail2ban actief op beide servers: geautomatiseerde blokkade van brute-force-pogingen.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Automatische security-updates (unattended-upgrades) op beide servers, met maandelijkse controle en geplande reboots.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Coolify-beheerpaneel: tweefactorauthenticatie en gesloten registratie.</w:t>
      </w:r>
    </w:p>
    <w:p>
      <w:pPr>
        <w:spacing w:after="120"/>
      </w:pPr>
      <w:r>
        <w:rPr>
          <w:color w:val="1E293B"/>
        </w:rPr>
        <w:t xml:space="preserve">Details en uitvoeringsstatus: "Server-hardening checklist" (compliance-dossier).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10. E-mail- &amp; verzendbeveiliging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Verzending via een geverifieerd domein.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HTML-escaping van alle gebruikersinvoer in e-mailteksten.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Geen medische inhoud in e-mails — alleen statusmeldingen en beveiligde links.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Medische rapporten worden verzonden via Zivver (beveiligde e-mail) met SMS-verificatie waar een telefoonnummer bekend is.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Facturen worden als PDF-bijlage verzonden; factuur-PDF’s staan in een afgeschermde (private) opslagbucket.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11. Versie- &amp; wijzigingsbeheer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Semantische versionering (SemVer); changelog (CHANGELOG.md) en git-tags per release; GitHub Releases met release-notes.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Het actieve versienummer is zichtbaar in de applicatie.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Databasewijzigingen via genummerde migraties (001 t/m 080).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Beleids- en beveiligingsdocumenten zijn versienummerd; oude versies blijven als historie bewaard.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12. PII-kluis: scheiding &amp; versleuteling van persoonsgegevens (nieuw)</w:t>
      </w:r>
    </w:p>
    <w:p>
      <w:pPr>
        <w:spacing w:after="120"/>
      </w:pPr>
      <w:r>
        <w:rPr>
          <w:color w:val="1E293B"/>
        </w:rPr>
        <w:t xml:space="preserve">Sinds 13 augustus 2026 zijn herleidbare persoonsgegevens (naam, adres, e-mail, telefoon, geboortedatum) fysiek gescheiden van de medische gegevens: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Het cliëntdossier is pseudoniem; de identiteit staat in een aparte kluistabel, per veld versleuteld met AES-256-GCM.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De versleutelingssleutel staat uitsluitend in de server-omgeving en de wachtwoordkluis — niet in de database. Een gestolen database of backup is daardoor naamloos en onleesbaar.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De kluistabel is voor alle applicatierollen afgesloten (RLS zonder policies + ingetrokken rechten); alle toegang loopt via één centrale toegangslaag in de applicatie.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Zoeken op e-mailadres gebeurt via een onomkeerbare HMAC-vingerafdruk — het adres staat nergens leesbaar.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Ook de kopergegevens op bestellingen zijn per veld versleuteld (zie hoofdstuk 13).</w:t>
      </w:r>
    </w:p>
    <w:p>
      <w:pPr>
        <w:spacing w:after="120"/>
      </w:pPr>
      <w:r>
        <w:rPr>
          <w:color w:val="1E293B"/>
        </w:rPr>
        <w:t xml:space="preserve">Volledige uitwerking: "PII-kluis — implementatieplan" (v1.2) en "PII-kluis — toelichting AVG" (v1.1) in het compliance-dossier.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13. Betaalmuur &amp; financiële gegevens (nieuw)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Betalingen lopen via Mollie (PSP): het platform slaat geen kaart- of rekeninggegevens op; alleen bedrag, btw, status en het Mollie-betalingskenmerk.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De betaal-webhook vertrouwt nooit de aangeleverde inhoud: de betaalstatus wordt altijd geverifieerd bij Mollie zelf; de verwerking is idempotent.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Factuurnummering is doorlopend en gatenloos (wettelijke eis), atomair uitgereikt (VHP{jaar}-{volgnummer}).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Kopergegevens op bestellingen (naam, adres, e-mail) zijn per veld versleuteld, gebonden aan de bestelling.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Terugbetalingen zijn admin-only, idempotent, produceren een creditfactuur en worden vastgelegd in de auditlog.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Financiële beheerschermen (bestellingen, omzet, kortingscodes, resellers) zijn uitsluitend voor admins.</w:t>
      </w:r>
    </w:p>
    <w:p>
      <w:pPr>
        <w:spacing w:after="120"/>
      </w:pPr>
      <w:r>
        <w:rPr>
          <w:color w:val="1E293B"/>
        </w:rPr>
        <w:t xml:space="preserve">Volledige uitwerking: "Betaalmuur &amp; facturatie" (v1.1) in het compliance-dossier.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14. Sleutelbeheer, retentie &amp; periodieke controles (nieuw)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Sleutelrotatie zonder onderbreking: geversioneerde sleutels met een gedocumenteerde rotatieprocedure en een idempotente herversleutel-run; elke sleutel staat op precies twee plekken (server-omgeving + wachtwoordkluis).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Retentie/anonimiseren: een afgerond of beëindigd dossier wordt met één beheerdersactie geanonimiseerd (kluisregel + koperdata gewist, verplichte auditregel); het medische spoor blijft naamloos bestaan voor statistiek. Factuur-PDF’s vallen onder de fiscale bewaarplicht.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Periodieke controles zijn ingepland en geagendeerd: maandelijks serveronderhoud, kwartaalritueel (sleutels, retentie, auditlog, firewall, toegang), halfjaarlijkse backup-restoretest en een jaarlijkse beveiligingsreview inclusief sleutelrotatie en toegangsreview.</w:t>
      </w:r>
    </w:p>
    <w:p>
      <w:pPr>
        <w:spacing w:after="120"/>
      </w:pPr>
      <w:r>
        <w:rPr>
          <w:color w:val="1E293B"/>
        </w:rPr>
        <w:t xml:space="preserve">Volledige uitwerking: "PII-kluis — sleutelbeheer en retentie" (v1.0) en "Jaarplanning beveiliging &amp; controles" (v1.0) in het compliance-dossier.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15. Openstaande aanbevelingen</w:t>
      </w:r>
    </w:p>
    <w:p>
      <w:pPr>
        <w:spacing w:after="120"/>
      </w:pPr>
      <w:r>
        <w:rPr>
          <w:color w:val="1E293B"/>
        </w:rPr>
        <w:t xml:space="preserve">Voor volledige, aantoonbare compliance zijn daarnaast nog de volgende (deels organisatorische) stappen aan te bevelen:</w:t>
      </w:r>
    </w:p>
    <w:tbl>
      <w:tblPr>
        <w:tblW w:type="dxa" w:w="90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600"/>
        <w:gridCol w:w="2200"/>
        <w:gridCol w:w="3200"/>
      </w:tblGrid>
      <w:tr>
        <w:trPr>
          <w:tblHeader/>
        </w:trPr>
        <w:tc>
          <w:tcPr>
            <w:tcW w:type="dxa" w:w="3600"/>
            <w:shd w:fill="1F168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Maatregel</w:t>
            </w:r>
          </w:p>
        </w:tc>
        <w:tc>
          <w:tcPr>
            <w:tcW w:type="dxa" w:w="2200"/>
            <w:shd w:fill="1F168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Prioriteit</w:t>
            </w:r>
          </w:p>
        </w:tc>
        <w:tc>
          <w:tcPr>
            <w:tcW w:type="dxa" w:w="3200"/>
            <w:shd w:fill="1F168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Status (v1.1)</w:t>
            </w:r>
          </w:p>
        </w:tc>
      </w:tr>
      <w:tr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DPIA opstellen en vastleggen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Hoog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Open</w:t>
            </w:r>
          </w:p>
        </w:tc>
      </w:tr>
      <w:tr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Verwerkingsregister bijhouden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Hoog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Open</w:t>
            </w:r>
          </w:p>
        </w:tc>
      </w:tr>
      <w:tr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Verwerkersovereenkomsten (Supabase, Resend, Better Stack, Mollie, Zivver)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Hoog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Deels — jaarlijkse check ingepland</w:t>
            </w:r>
          </w:p>
        </w:tc>
      </w:tr>
      <w:tr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Supabase: SSL enforcement + network restrictions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Hoog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Open</w:t>
            </w:r>
          </w:p>
        </w:tc>
      </w:tr>
      <w:tr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Point-in-Time Recovery + hersteltest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Middel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Restoretest ingepland (jaarplanning, feb 2027)</w:t>
            </w:r>
          </w:p>
        </w:tc>
      </w:tr>
      <w:tr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Leesacties verder loggen (bv. PDF-downloads)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Middel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Open</w:t>
            </w:r>
          </w:p>
        </w:tc>
      </w:tr>
      <w:tr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Externe pentest + hertest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Middel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Open</w:t>
            </w:r>
          </w:p>
        </w:tc>
      </w:tr>
      <w:tr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NEN 7510/7513 gap-analyse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Middel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Open</w:t>
            </w:r>
          </w:p>
        </w:tc>
      </w:tr>
      <w:tr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Jaarlijkse leveranciers- en securitybeoordeling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Aanbevolen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Ingepland (jaarplanning, aug 2027)</w:t>
            </w:r>
          </w:p>
        </w:tc>
      </w:tr>
      <w:tr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Concrete bewaartermijnen vastleggen in retentiebeleid</w:t>
            </w:r>
          </w:p>
        </w:tc>
        <w:tc>
          <w:tcPr>
            <w:tcW w:type="dxa" w:w="2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Hoog</w:t>
            </w:r>
          </w:p>
        </w:tc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color w:val="1E293B"/>
              </w:rPr>
              <w:t xml:space="preserve">Open (mechanisme gereed, zie h14)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1E293B"/>
        </w:rPr>
        <w:t xml:space="preserve">Dit document is onderdeel van het beveiligingsbeleid van Vita Health. Werk het bij na elke belangrijke wijziging en bewaar het buiten het platform (bijv. in een versleutelde map).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Beveiligingsmaatregelen — v1.1</dc:title>
  <dc:creator>Vita Health</dc:creator>
  <cp:lastModifiedBy>Un-named</cp:lastModifiedBy>
  <cp:revision>1</cp:revision>
  <dcterms:created xsi:type="dcterms:W3CDTF">2026-08-18T14:00:42.178Z</dcterms:created>
  <dcterms:modified xsi:type="dcterms:W3CDTF">2026-08-18T14:00:42.203Z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