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before="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1683" w:val="clear"/>
            <w:tcMar>
              <w:top w:type="dxa" w:w="400"/>
              <w:left w:type="dxa" w:w="520"/>
              <w:bottom w:type="dxa" w:w="400"/>
              <w:right w:type="dxa" w:w="52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color w:val="FBBF24"/>
                <w:sz w:val="16"/>
                <w:szCs w:val="16"/>
              </w:rPr>
              <w:t xml:space="preserve">CONFIGURATIE-CHECKLIST — INTERN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Dependency- &amp; secret-scanning</w:t>
            </w:r>
          </w:p>
          <w:p>
            <w:pPr>
              <w:spacing w:after="140"/>
            </w:pPr>
            <w:r>
              <w:rPr>
                <w:rFonts w:ascii="Arial" w:cs="Arial" w:eastAsia="Arial" w:hAnsi="Arial"/>
                <w:color w:val="A5F3FC"/>
                <w:sz w:val="22"/>
                <w:szCs w:val="22"/>
              </w:rPr>
              <w:t xml:space="preserve">Vita Health Platform</w:t>
            </w:r>
          </w:p>
          <w:p>
            <w:r>
              <w:rPr>
                <w:rFonts w:ascii="Arial" w:cs="Arial" w:eastAsia="Arial" w:hAnsi="Arial"/>
                <w:color w:val="BAE6FD"/>
                <w:sz w:val="19"/>
                <w:szCs w:val="19"/>
              </w:rPr>
              <w:t xml:space="preserve">Documentversie 1.0 — 9 juni 2026</w:t>
            </w:r>
          </w:p>
        </w:tc>
      </w:tr>
    </w:tbl>
    <w:p>
      <w:pPr>
        <w:spacing w:after="80" w:before="180"/>
      </w:pP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Automatisch controleren op kwetsbare packages en gelekte secrets.</w:t>
      </w:r>
    </w:p>
    <w:p>
      <w:pPr>
        <w:spacing w:after="40" w:before="4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806"/>
        <w:gridCol w:w="1800"/>
      </w:tblGrid>
      <w:tr>
        <w:trPr>
          <w:tblHeader/>
        </w:trPr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Maatregel</w:t>
            </w:r>
          </w:p>
        </w:tc>
        <w:tc>
          <w:tcPr>
            <w:tcW w:type="dxa" w:w="48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Hoe in te stellen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npm audit</w:t>
            </w:r>
          </w:p>
        </w:tc>
        <w:tc>
          <w:tcPr>
            <w:tcW w:type="dxa" w:w="48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Regelmatig draaien; kwetsbaarheden beoordelen en patchen.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Open</w:t>
            </w:r>
          </w:p>
        </w:tc>
      </w:tr>
      <w:tr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Dependabot / renovate</w:t>
            </w:r>
          </w:p>
        </w:tc>
        <w:tc>
          <w:tcPr>
            <w:tcW w:type="dxa" w:w="48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Automatische update-PRs voor afhankelijkheden inschakelen.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Open</w:t>
            </w:r>
          </w:p>
        </w:tc>
      </w:tr>
      <w:tr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Secret-scanning</w:t>
            </w:r>
          </w:p>
        </w:tc>
        <w:tc>
          <w:tcPr>
            <w:tcW w:type="dxa" w:w="48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GitHub secret scanning of gitleaks; alarmeren bij gelekte sleutels.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Open</w:t>
            </w:r>
          </w:p>
        </w:tc>
      </w:tr>
      <w:tr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CI-controle</w:t>
            </w:r>
          </w:p>
        </w:tc>
        <w:tc>
          <w:tcPr>
            <w:tcW w:type="dxa" w:w="48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Scans onderdeel maken van de build/CI-pipeline.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Open</w:t>
            </w:r>
          </w:p>
        </w:tc>
      </w:tr>
      <w:tr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.env niet in Git</w:t>
            </w:r>
          </w:p>
        </w:tc>
        <w:tc>
          <w:tcPr>
            <w:tcW w:type="dxa" w:w="48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Bevestigen dat secrets niet in de repository staan.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47857"/>
                <w:sz w:val="17"/>
                <w:szCs w:val="17"/>
              </w:rPr>
              <w:t xml:space="preserve">Gereed</w:t>
            </w:r>
          </w:p>
        </w:tc>
      </w:tr>
    </w:tbl>
    <w:p>
      <w:pPr>
        <w:spacing w:after="30" w:before="50"/>
      </w:pPr>
    </w:p>
    <w:p>
      <w:pPr>
        <w:spacing w:after="30" w:before="30"/>
      </w:pPr>
      <w:r>
        <w:rPr>
          <w:rFonts w:ascii="Arial" w:cs="Arial" w:eastAsia="Arial" w:hAnsi="Arial"/>
          <w:i/>
          <w:iCs/>
          <w:color w:val="B45309"/>
          <w:sz w:val="19"/>
          <w:szCs w:val="19"/>
        </w:rPr>
        <w:t xml:space="preserve">[Kies de tooling en leg het ritme van beoordelen vast]</w:t>
      </w:r>
    </w:p>
    <w:sectPr>
      <w:headerReference w:type="default" r:id="rId7"/>
      <w:footerReference w:type="default" r:id="rId8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1"/>
      </w:pBdr>
    </w:pPr>
    <w:r>
      <w:rPr>
        <w:rFonts w:ascii="Arial" w:cs="Arial" w:eastAsia="Arial" w:hAnsi="Arial"/>
        <w:color w:val="64748B"/>
        <w:sz w:val="16"/>
        <w:szCs w:val="16"/>
      </w:rPr>
      <w:t xml:space="preserve">Configuratie-checklist  |  Pagina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1"/>
      </w:pBdr>
    </w:pPr>
    <w:r>
      <w:rPr>
        <w:rFonts w:ascii="Arial" w:cs="Arial" w:eastAsia="Arial" w:hAnsi="Arial"/>
        <w:color w:val="64748B"/>
        <w:sz w:val="16"/>
        <w:szCs w:val="16"/>
      </w:rPr>
      <w:t xml:space="preserve">Vita Health Platform  |  Dependency- &amp; secret-scanning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2026-06-09T12:51:24.548Z</dcterms:created>
  <dcterms:modified xsi:type="dcterms:W3CDTF">2026-06-09T12:51:24.548Z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