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1683"/>
          <w:spacing w:val="60"/>
          <w:sz w:val="24"/>
          <w:szCs w:val="24"/>
        </w:rPr>
        <w:t xml:space="preserve">VITA HEALTH — WERKPAKKET LEEFSTIJLARTS</w:t>
      </w:r>
    </w:p>
    <w:p>
      <w:pPr>
        <w:pBdr>
          <w:bottom w:val="single" w:color="04B788" w:sz="18"/>
        </w:pBdr>
        <w:spacing w:after="0" w:before="40"/>
      </w:pPr>
    </w:p>
    <w:p>
      <w:pPr>
        <w:spacing w:after="0" w:before="260"/>
      </w:pPr>
      <w:r>
        <w:rPr>
          <w:b/>
          <w:bCs/>
          <w:color w:val="1E293B"/>
          <w:sz w:val="52"/>
          <w:szCs w:val="52"/>
        </w:rPr>
        <w:t xml:space="preserve">Het AI-advies trainen</w:t>
      </w:r>
    </w:p>
    <w:p>
      <w:pPr>
        <w:spacing w:after="0" w:before="120"/>
      </w:pPr>
      <w:r>
        <w:rPr>
          <w:color w:val="64748B"/>
          <w:sz w:val="28"/>
          <w:szCs w:val="28"/>
        </w:rPr>
        <w:t xml:space="preserve">Kennisbank vullen, richtlijnen vastleggen en adviezen goedkeuren — wat we nodig hebben en in welke vorm</w:t>
      </w:r>
    </w:p>
    <w:p>
      <w:pPr>
        <w:spacing w:after="0" w:before="900"/>
      </w:pPr>
      <w:r>
        <w:rPr>
          <w:b/>
          <w:bCs/>
          <w:color w:val="1E293B"/>
          <w:sz w:val="24"/>
          <w:szCs w:val="24"/>
        </w:rPr>
        <w:t xml:space="preserve">Documentversie 1.0 — 2 september 2026</w:t>
      </w:r>
    </w:p>
    <w:p>
      <w:pPr>
        <w:spacing w:after="0" w:before="40"/>
      </w:pPr>
      <w:r>
        <w:rPr>
          <w:color w:val="64748B"/>
          <w:sz w:val="22"/>
          <w:szCs w:val="22"/>
        </w:rPr>
        <w:t xml:space="preserve">Voor: leefstijlarts Vita Health · Van: Pieter-Frank van Boven</w:t>
      </w:r>
    </w:p>
    <w:p>
      <w:r>
        <w:br w:type="page"/>
      </w:r>
    </w:p>
    <w:p>
      <w:pPr>
        <w:pStyle w:val="Heading1"/>
        <w:spacing w:after="120" w:before="280"/>
      </w:pPr>
      <w:r>
        <w:rPr>
          <w:b/>
          <w:bCs/>
          <w:color w:val="1F1683"/>
        </w:rPr>
        <w:t xml:space="preserve">1. Hoe het AI-advies leert — in het kort</w:t>
      </w:r>
    </w:p>
    <w:p>
      <w:pPr>
        <w:spacing w:after="120"/>
      </w:pPr>
      <w:r>
        <w:rPr>
          <w:color w:val="1E293B"/>
        </w:rPr>
        <w:t xml:space="preserve">Het platform genereert een concept-leefstijladvies per cliënt. Jij beoordeelt dat concept altijd vóór verzending. Het model wordt níet "getraind" zoals ChatGPT — het leert op drie manieren, allemaal direct door jou te sturen:</w:t>
      </w:r>
    </w:p>
    <w:p>
      <w:pPr>
        <w:spacing w:after="60"/>
        <w:ind w:left="360" w:hanging="360"/>
      </w:pPr>
      <w:r>
        <w:rPr>
          <w:b/>
          <w:bCs/>
          <w:color w:val="1F1683"/>
        </w:rPr>
        <w:t xml:space="preserve">1. </w:t>
      </w:r>
      <w:r>
        <w:rPr>
          <w:b/>
          <w:bCs/>
          <w:color w:val="1E293B"/>
        </w:rPr>
        <w:t xml:space="preserve">Kennisbank</w:t>
      </w:r>
      <w:r>
        <w:rPr>
          <w:color w:val="1E293B"/>
        </w:rPr>
        <w:t xml:space="preserve"> — het model mag uitsluitend adviseren wat in onze eigen kennisbank staat, met bronverwijzing per advies. Staat er niets over slaap in de kennisbank, dan schrijft het model letterlijk "voor dit punt is nog geen kennis beschikbaar; de arts vult dit aan". De kwaliteit van het advies is dus maximaal zo goed als de kennisbank. </w:t>
      </w:r>
      <w:r>
        <w:rPr>
          <w:b/>
          <w:bCs/>
          <w:color w:val="1E293B"/>
        </w:rPr>
        <w:t xml:space="preserve">Dit is verreweg de belangrijkste taak.</w:t>
      </w:r>
    </w:p>
    <w:p>
      <w:pPr>
        <w:spacing w:after="60"/>
        <w:ind w:left="360" w:hanging="360"/>
      </w:pPr>
      <w:r>
        <w:rPr>
          <w:b/>
          <w:bCs/>
          <w:color w:val="1F1683"/>
        </w:rPr>
        <w:t xml:space="preserve">2. </w:t>
      </w:r>
      <w:r>
        <w:rPr>
          <w:b/>
          <w:bCs/>
          <w:color w:val="1E293B"/>
        </w:rPr>
        <w:t xml:space="preserve">Als-dan richtlijnen</w:t>
      </w:r>
      <w:r>
        <w:rPr>
          <w:color w:val="1E293B"/>
        </w:rPr>
        <w:t xml:space="preserve"> — harde beslisregels ("ALS LDL &gt; 4 DAN eerst medische verificatie adviseren") die het systeem automatisch en gegarandeerd toepast wanneer de meetwaarden erom vragen.</w:t>
      </w:r>
    </w:p>
    <w:p>
      <w:pPr>
        <w:spacing w:after="60"/>
        <w:ind w:left="360" w:hanging="360"/>
      </w:pPr>
      <w:r>
        <w:rPr>
          <w:b/>
          <w:bCs/>
          <w:color w:val="1F1683"/>
        </w:rPr>
        <w:t xml:space="preserve">3. </w:t>
      </w:r>
      <w:r>
        <w:rPr>
          <w:b/>
          <w:bCs/>
          <w:color w:val="1E293B"/>
        </w:rPr>
        <w:t xml:space="preserve">Goedgekeurde adviezen</w:t>
      </w:r>
      <w:r>
        <w:rPr>
          <w:color w:val="1E293B"/>
        </w:rPr>
        <w:t xml:space="preserve"> — elk advies dat jij goedkeurt wordt automatisch voorbeeldmateriaal voor de volgende generatie (toon, diepgang, opbouw). Goedkeuren ís trainen.</w:t>
      </w:r>
    </w:p>
    <w:p>
      <w:pPr>
        <w:spacing w:after="120"/>
      </w:pPr>
      <w:r>
        <w:rPr>
          <w:color w:val="1E293B"/>
        </w:rPr>
        <w:t xml:space="preserve">Het interpretatiekader dat we samen hebben opgesteld (eerst het landschap dan de bomen, clusters boven losse markers, herstel weegt even zwaar als voeding) zit al ín het systeem verwerkt — dat hoeft niet opnieuw aangeleverd.</w:t>
      </w:r>
    </w:p>
    <w:p>
      <w:pPr>
        <w:pStyle w:val="Heading1"/>
        <w:spacing w:after="120" w:before="280"/>
      </w:pPr>
      <w:r>
        <w:rPr>
          <w:b/>
          <w:bCs/>
          <w:color w:val="1F1683"/>
        </w:rPr>
        <w:t xml:space="preserve">2. Taak 1 — Kennisdocumenten schrijven (hoofdtaak)</w:t>
      </w:r>
    </w:p>
    <w:p>
      <w:pPr>
        <w:pStyle w:val="Heading2"/>
        <w:spacing w:after="80" w:before="180"/>
      </w:pPr>
      <w:r>
        <w:rPr>
          <w:b/>
          <w:bCs/>
          <w:color w:val="1E293B"/>
        </w:rPr>
        <w:t xml:space="preserve">2.1 Op welke terreinen we input nodig hebben</w:t>
      </w:r>
    </w:p>
    <w:p>
      <w:pPr>
        <w:spacing w:after="120"/>
      </w:pPr>
      <w:r>
        <w:rPr>
          <w:color w:val="1E293B"/>
        </w:rPr>
        <w:t xml:space="preserve">Prioriteit op volgorde van wat cliënten het vaakst als top-aandachtspunt hebben én waar de kennisbank nu leeg of te algemeen is:</w:t>
      </w:r>
    </w:p>
    <w:tbl>
      <w:tblPr>
        <w:tblW w:type="dxa" w:w="9300"/>
        <w:tblBorders>
          <w:top w:val="single" w:color="E2E8F0" w:sz="4"/>
          <w:left w:val="single" w:color="E2E8F0" w:sz="4"/>
          <w:bottom w:val="single" w:color="E2E8F0" w:sz="4"/>
          <w:right w:val="single" w:color="E2E8F0" w:sz="4"/>
          <w:insideH w:val="single" w:color="E2E8F0" w:sz="4"/>
          <w:insideV w:val="single" w:color="E2E8F0" w:sz="4"/>
        </w:tblBorders>
      </w:tblPr>
      <w:tblGrid>
        <w:gridCol w:w="700"/>
        <w:gridCol w:w="2650"/>
        <w:gridCol w:w="4050"/>
        <w:gridCol w:w="1900"/>
      </w:tblGrid>
      <w:tr>
        <w:trPr>
          <w:tblHeader/>
        </w:trPr>
        <w:tc>
          <w:tcPr>
            <w:tcW w:type="dxa" w:w="700"/>
            <w:shd w:fill="1F1683" w:color="auto" w:val="clear"/>
            <w:tcMar>
              <w:top w:type="dxa" w:w="70"/>
              <w:left w:type="dxa" w:w="110"/>
              <w:bottom w:type="dxa" w:w="70"/>
              <w:right w:type="dxa" w:w="110"/>
            </w:tcMar>
          </w:tcPr>
          <w:p>
            <w:pPr>
              <w:spacing w:after="0"/>
            </w:pPr>
            <w:r>
              <w:rPr>
                <w:b/>
                <w:bCs/>
                <w:color w:val="FFFFFF"/>
                <w:sz w:val="18"/>
                <w:szCs w:val="18"/>
              </w:rPr>
              <w:t xml:space="preserve">Prio</w:t>
            </w:r>
          </w:p>
        </w:tc>
        <w:tc>
          <w:tcPr>
            <w:tcW w:type="dxa" w:w="2650"/>
            <w:shd w:fill="1F1683" w:color="auto" w:val="clear"/>
            <w:tcMar>
              <w:top w:type="dxa" w:w="70"/>
              <w:left w:type="dxa" w:w="110"/>
              <w:bottom w:type="dxa" w:w="70"/>
              <w:right w:type="dxa" w:w="110"/>
            </w:tcMar>
          </w:tcPr>
          <w:p>
            <w:pPr>
              <w:spacing w:after="0"/>
            </w:pPr>
            <w:r>
              <w:rPr>
                <w:b/>
                <w:bCs/>
                <w:color w:val="FFFFFF"/>
                <w:sz w:val="18"/>
                <w:szCs w:val="18"/>
              </w:rPr>
              <w:t xml:space="preserve">Terrein (domein in de kennisbank)</w:t>
            </w:r>
          </w:p>
        </w:tc>
        <w:tc>
          <w:tcPr>
            <w:tcW w:type="dxa" w:w="4050"/>
            <w:shd w:fill="1F1683" w:color="auto" w:val="clear"/>
            <w:tcMar>
              <w:top w:type="dxa" w:w="70"/>
              <w:left w:type="dxa" w:w="110"/>
              <w:bottom w:type="dxa" w:w="70"/>
              <w:right w:type="dxa" w:w="110"/>
            </w:tcMar>
          </w:tcPr>
          <w:p>
            <w:pPr>
              <w:spacing w:after="0"/>
            </w:pPr>
            <w:r>
              <w:rPr>
                <w:b/>
                <w:bCs/>
                <w:color w:val="FFFFFF"/>
                <w:sz w:val="18"/>
                <w:szCs w:val="18"/>
              </w:rPr>
              <w:t xml:space="preserve">Waarom / wat we zien</w:t>
            </w:r>
          </w:p>
        </w:tc>
        <w:tc>
          <w:tcPr>
            <w:tcW w:type="dxa" w:w="1900"/>
            <w:shd w:fill="1F1683" w:color="auto" w:val="clear"/>
            <w:tcMar>
              <w:top w:type="dxa" w:w="70"/>
              <w:left w:type="dxa" w:w="110"/>
              <w:bottom w:type="dxa" w:w="70"/>
              <w:right w:type="dxa" w:w="110"/>
            </w:tcMar>
          </w:tcPr>
          <w:p>
            <w:pPr>
              <w:spacing w:after="0"/>
            </w:pPr>
            <w:r>
              <w:rPr>
                <w:b/>
                <w:bCs/>
                <w:color w:val="FFFFFF"/>
                <w:sz w:val="18"/>
                <w:szCs w:val="18"/>
              </w:rPr>
              <w:t xml:space="preserve">Aantal documenten</w:t>
            </w:r>
          </w:p>
        </w:tc>
      </w:tr>
      <w:tr>
        <w:tc>
          <w:tcPr>
            <w:tcW w:type="dxa" w:w="700"/>
            <w:tcMar>
              <w:top w:type="dxa" w:w="70"/>
              <w:left w:type="dxa" w:w="110"/>
              <w:bottom w:type="dxa" w:w="70"/>
              <w:right w:type="dxa" w:w="110"/>
            </w:tcMar>
          </w:tcPr>
          <w:p>
            <w:pPr>
              <w:spacing w:after="0"/>
            </w:pPr>
            <w:r>
              <w:rPr>
                <w:color w:val="1E293B"/>
                <w:sz w:val="18"/>
                <w:szCs w:val="18"/>
              </w:rPr>
              <w:t xml:space="preserve">1</w:t>
            </w:r>
          </w:p>
        </w:tc>
        <w:tc>
          <w:tcPr>
            <w:tcW w:type="dxa" w:w="2650"/>
            <w:tcMar>
              <w:top w:type="dxa" w:w="70"/>
              <w:left w:type="dxa" w:w="110"/>
              <w:bottom w:type="dxa" w:w="70"/>
              <w:right w:type="dxa" w:w="110"/>
            </w:tcMar>
          </w:tcPr>
          <w:p>
            <w:pPr>
              <w:spacing w:after="0"/>
            </w:pPr>
            <w:r>
              <w:rPr>
                <w:color w:val="1E293B"/>
                <w:sz w:val="18"/>
                <w:szCs w:val="18"/>
              </w:rPr>
              <w:t xml:space="preserve">Slaap &amp; herstel (domein: Slaap)</w:t>
            </w:r>
          </w:p>
        </w:tc>
        <w:tc>
          <w:tcPr>
            <w:tcW w:type="dxa" w:w="4050"/>
            <w:tcMar>
              <w:top w:type="dxa" w:w="70"/>
              <w:left w:type="dxa" w:w="110"/>
              <w:bottom w:type="dxa" w:w="70"/>
              <w:right w:type="dxa" w:w="110"/>
            </w:tcMar>
          </w:tcPr>
          <w:p>
            <w:pPr>
              <w:spacing w:after="0"/>
            </w:pPr>
            <w:r>
              <w:rPr>
                <w:color w:val="1E293B"/>
                <w:sz w:val="18"/>
                <w:szCs w:val="18"/>
              </w:rPr>
              <w:t xml:space="preserve">Vaakst de nr. 1-aanbeveling; kennisbank nu leeg — het model kan er niets over zeggen</w:t>
            </w:r>
          </w:p>
        </w:tc>
        <w:tc>
          <w:tcPr>
            <w:tcW w:type="dxa" w:w="1900"/>
            <w:tcMar>
              <w:top w:type="dxa" w:w="70"/>
              <w:left w:type="dxa" w:w="110"/>
              <w:bottom w:type="dxa" w:w="70"/>
              <w:right w:type="dxa" w:w="110"/>
            </w:tcMar>
          </w:tcPr>
          <w:p>
            <w:pPr>
              <w:spacing w:after="0"/>
            </w:pPr>
            <w:r>
              <w:rPr>
                <w:color w:val="1E293B"/>
                <w:sz w:val="18"/>
                <w:szCs w:val="18"/>
              </w:rPr>
              <w:t xml:space="preserve">4</w:t>
            </w:r>
          </w:p>
        </w:tc>
      </w:tr>
      <w:tr>
        <w:tc>
          <w:tcPr>
            <w:tcW w:type="dxa" w:w="700"/>
            <w:tcMar>
              <w:top w:type="dxa" w:w="70"/>
              <w:left w:type="dxa" w:w="110"/>
              <w:bottom w:type="dxa" w:w="70"/>
              <w:right w:type="dxa" w:w="110"/>
            </w:tcMar>
          </w:tcPr>
          <w:p>
            <w:pPr>
              <w:spacing w:after="0"/>
            </w:pPr>
            <w:r>
              <w:rPr>
                <w:color w:val="1E293B"/>
                <w:sz w:val="18"/>
                <w:szCs w:val="18"/>
              </w:rPr>
              <w:t xml:space="preserve">2</w:t>
            </w:r>
          </w:p>
        </w:tc>
        <w:tc>
          <w:tcPr>
            <w:tcW w:type="dxa" w:w="2650"/>
            <w:tcMar>
              <w:top w:type="dxa" w:w="70"/>
              <w:left w:type="dxa" w:w="110"/>
              <w:bottom w:type="dxa" w:w="70"/>
              <w:right w:type="dxa" w:w="110"/>
            </w:tcMar>
          </w:tcPr>
          <w:p>
            <w:pPr>
              <w:spacing w:after="0"/>
            </w:pPr>
            <w:r>
              <w:rPr>
                <w:color w:val="1E293B"/>
                <w:sz w:val="18"/>
                <w:szCs w:val="18"/>
              </w:rPr>
              <w:t xml:space="preserve">Stressregulatie &amp; ontspanning (Stress)</w:t>
            </w:r>
          </w:p>
        </w:tc>
        <w:tc>
          <w:tcPr>
            <w:tcW w:type="dxa" w:w="4050"/>
            <w:tcMar>
              <w:top w:type="dxa" w:w="70"/>
              <w:left w:type="dxa" w:w="110"/>
              <w:bottom w:type="dxa" w:w="70"/>
              <w:right w:type="dxa" w:w="110"/>
            </w:tcMar>
          </w:tcPr>
          <w:p>
            <w:pPr>
              <w:spacing w:after="0"/>
            </w:pPr>
            <w:r>
              <w:rPr>
                <w:color w:val="1E293B"/>
                <w:sz w:val="18"/>
                <w:szCs w:val="18"/>
              </w:rPr>
              <w:t xml:space="preserve">"Altijd aan"-modus, geen hersteltijd — kernthema bij sterke metabole profielen</w:t>
            </w:r>
          </w:p>
        </w:tc>
        <w:tc>
          <w:tcPr>
            <w:tcW w:type="dxa" w:w="1900"/>
            <w:tcMar>
              <w:top w:type="dxa" w:w="70"/>
              <w:left w:type="dxa" w:w="110"/>
              <w:bottom w:type="dxa" w:w="70"/>
              <w:right w:type="dxa" w:w="110"/>
            </w:tcMar>
          </w:tcPr>
          <w:p>
            <w:pPr>
              <w:spacing w:after="0"/>
            </w:pPr>
            <w:r>
              <w:rPr>
                <w:color w:val="1E293B"/>
                <w:sz w:val="18"/>
                <w:szCs w:val="18"/>
              </w:rPr>
              <w:t xml:space="preserve">4</w:t>
            </w:r>
          </w:p>
        </w:tc>
      </w:tr>
      <w:tr>
        <w:tc>
          <w:tcPr>
            <w:tcW w:type="dxa" w:w="700"/>
            <w:tcMar>
              <w:top w:type="dxa" w:w="70"/>
              <w:left w:type="dxa" w:w="110"/>
              <w:bottom w:type="dxa" w:w="70"/>
              <w:right w:type="dxa" w:w="110"/>
            </w:tcMar>
          </w:tcPr>
          <w:p>
            <w:pPr>
              <w:spacing w:after="0"/>
            </w:pPr>
            <w:r>
              <w:rPr>
                <w:color w:val="1E293B"/>
                <w:sz w:val="18"/>
                <w:szCs w:val="18"/>
              </w:rPr>
              <w:t xml:space="preserve">3</w:t>
            </w:r>
          </w:p>
        </w:tc>
        <w:tc>
          <w:tcPr>
            <w:tcW w:type="dxa" w:w="2650"/>
            <w:tcMar>
              <w:top w:type="dxa" w:w="70"/>
              <w:left w:type="dxa" w:w="110"/>
              <w:bottom w:type="dxa" w:w="70"/>
              <w:right w:type="dxa" w:w="110"/>
            </w:tcMar>
          </w:tcPr>
          <w:p>
            <w:pPr>
              <w:spacing w:after="0"/>
            </w:pPr>
            <w:r>
              <w:rPr>
                <w:color w:val="1E293B"/>
                <w:sz w:val="18"/>
                <w:szCs w:val="18"/>
              </w:rPr>
              <w:t xml:space="preserve">Zelfzorg, motivatie &amp; gedragsverandering (Algemeen)</w:t>
            </w:r>
          </w:p>
        </w:tc>
        <w:tc>
          <w:tcPr>
            <w:tcW w:type="dxa" w:w="4050"/>
            <w:tcMar>
              <w:top w:type="dxa" w:w="70"/>
              <w:left w:type="dxa" w:w="110"/>
              <w:bottom w:type="dxa" w:w="70"/>
              <w:right w:type="dxa" w:w="110"/>
            </w:tcMar>
          </w:tcPr>
          <w:p>
            <w:pPr>
              <w:spacing w:after="0"/>
            </w:pPr>
            <w:r>
              <w:rPr>
                <w:color w:val="1E293B"/>
                <w:sz w:val="18"/>
                <w:szCs w:val="18"/>
              </w:rPr>
              <w:t xml:space="preserve">Lage zelfzorgscores, innerlijke criticus, doelen volhouden — nodig voor haalbare 4-wekendoelen</w:t>
            </w:r>
          </w:p>
        </w:tc>
        <w:tc>
          <w:tcPr>
            <w:tcW w:type="dxa" w:w="1900"/>
            <w:tcMar>
              <w:top w:type="dxa" w:w="70"/>
              <w:left w:type="dxa" w:w="110"/>
              <w:bottom w:type="dxa" w:w="70"/>
              <w:right w:type="dxa" w:w="110"/>
            </w:tcMar>
          </w:tcPr>
          <w:p>
            <w:pPr>
              <w:spacing w:after="0"/>
            </w:pPr>
            <w:r>
              <w:rPr>
                <w:color w:val="1E293B"/>
                <w:sz w:val="18"/>
                <w:szCs w:val="18"/>
              </w:rPr>
              <w:t xml:space="preserve">3</w:t>
            </w:r>
          </w:p>
        </w:tc>
      </w:tr>
      <w:tr>
        <w:tc>
          <w:tcPr>
            <w:tcW w:type="dxa" w:w="700"/>
            <w:tcMar>
              <w:top w:type="dxa" w:w="70"/>
              <w:left w:type="dxa" w:w="110"/>
              <w:bottom w:type="dxa" w:w="70"/>
              <w:right w:type="dxa" w:w="110"/>
            </w:tcMar>
          </w:tcPr>
          <w:p>
            <w:pPr>
              <w:spacing w:after="0"/>
            </w:pPr>
            <w:r>
              <w:rPr>
                <w:color w:val="1E293B"/>
                <w:sz w:val="18"/>
                <w:szCs w:val="18"/>
              </w:rPr>
              <w:t xml:space="preserve">4</w:t>
            </w:r>
          </w:p>
        </w:tc>
        <w:tc>
          <w:tcPr>
            <w:tcW w:type="dxa" w:w="2650"/>
            <w:tcMar>
              <w:top w:type="dxa" w:w="70"/>
              <w:left w:type="dxa" w:w="110"/>
              <w:bottom w:type="dxa" w:w="70"/>
              <w:right w:type="dxa" w:w="110"/>
            </w:tcMar>
          </w:tcPr>
          <w:p>
            <w:pPr>
              <w:spacing w:after="0"/>
            </w:pPr>
            <w:r>
              <w:rPr>
                <w:color w:val="1E293B"/>
                <w:sz w:val="18"/>
                <w:szCs w:val="18"/>
              </w:rPr>
              <w:t xml:space="preserve">Voeding — vetzuurkwaliteit (Voeding)</w:t>
            </w:r>
          </w:p>
        </w:tc>
        <w:tc>
          <w:tcPr>
            <w:tcW w:type="dxa" w:w="4050"/>
            <w:tcMar>
              <w:top w:type="dxa" w:w="70"/>
              <w:left w:type="dxa" w:w="110"/>
              <w:bottom w:type="dxa" w:w="70"/>
              <w:right w:type="dxa" w:w="110"/>
            </w:tcMar>
          </w:tcPr>
          <w:p>
            <w:pPr>
              <w:spacing w:after="0"/>
            </w:pPr>
            <w:r>
              <w:rPr>
                <w:color w:val="1E293B"/>
                <w:sz w:val="18"/>
                <w:szCs w:val="18"/>
              </w:rPr>
              <w:t xml:space="preserve">Omega-6/omega-3-verhouding wijkt bij bijna elke casus af; huidige kennis te algemeen ("eet meer omega-3")</w:t>
            </w:r>
          </w:p>
        </w:tc>
        <w:tc>
          <w:tcPr>
            <w:tcW w:type="dxa" w:w="1900"/>
            <w:tcMar>
              <w:top w:type="dxa" w:w="70"/>
              <w:left w:type="dxa" w:w="110"/>
              <w:bottom w:type="dxa" w:w="70"/>
              <w:right w:type="dxa" w:w="110"/>
            </w:tcMar>
          </w:tcPr>
          <w:p>
            <w:pPr>
              <w:spacing w:after="0"/>
            </w:pPr>
            <w:r>
              <w:rPr>
                <w:color w:val="1E293B"/>
                <w:sz w:val="18"/>
                <w:szCs w:val="18"/>
              </w:rPr>
              <w:t xml:space="preserve">3</w:t>
            </w:r>
          </w:p>
        </w:tc>
      </w:tr>
      <w:tr>
        <w:tc>
          <w:tcPr>
            <w:tcW w:type="dxa" w:w="700"/>
            <w:tcMar>
              <w:top w:type="dxa" w:w="70"/>
              <w:left w:type="dxa" w:w="110"/>
              <w:bottom w:type="dxa" w:w="70"/>
              <w:right w:type="dxa" w:w="110"/>
            </w:tcMar>
          </w:tcPr>
          <w:p>
            <w:pPr>
              <w:spacing w:after="0"/>
            </w:pPr>
            <w:r>
              <w:rPr>
                <w:color w:val="1E293B"/>
                <w:sz w:val="18"/>
                <w:szCs w:val="18"/>
              </w:rPr>
              <w:t xml:space="preserve">5</w:t>
            </w:r>
          </w:p>
        </w:tc>
        <w:tc>
          <w:tcPr>
            <w:tcW w:type="dxa" w:w="2650"/>
            <w:tcMar>
              <w:top w:type="dxa" w:w="70"/>
              <w:left w:type="dxa" w:w="110"/>
              <w:bottom w:type="dxa" w:w="70"/>
              <w:right w:type="dxa" w:w="110"/>
            </w:tcMar>
          </w:tcPr>
          <w:p>
            <w:pPr>
              <w:spacing w:after="0"/>
            </w:pPr>
            <w:r>
              <w:rPr>
                <w:color w:val="1E293B"/>
                <w:sz w:val="18"/>
                <w:szCs w:val="18"/>
              </w:rPr>
              <w:t xml:space="preserve">Voeding — cardiometabool patroon (Voeding)</w:t>
            </w:r>
          </w:p>
        </w:tc>
        <w:tc>
          <w:tcPr>
            <w:tcW w:type="dxa" w:w="4050"/>
            <w:tcMar>
              <w:top w:type="dxa" w:w="70"/>
              <w:left w:type="dxa" w:w="110"/>
              <w:bottom w:type="dxa" w:w="70"/>
              <w:right w:type="dxa" w:w="110"/>
            </w:tcMar>
          </w:tcPr>
          <w:p>
            <w:pPr>
              <w:spacing w:after="0"/>
            </w:pPr>
            <w:r>
              <w:rPr>
                <w:color w:val="1E293B"/>
                <w:sz w:val="18"/>
                <w:szCs w:val="18"/>
              </w:rPr>
              <w:t xml:space="preserve">Cholesteroltransport/lipidenclusters; mediterraan patroon, bewerkt voedsel, suikers, emotie-eten</w:t>
            </w:r>
          </w:p>
        </w:tc>
        <w:tc>
          <w:tcPr>
            <w:tcW w:type="dxa" w:w="1900"/>
            <w:tcMar>
              <w:top w:type="dxa" w:w="70"/>
              <w:left w:type="dxa" w:w="110"/>
              <w:bottom w:type="dxa" w:w="70"/>
              <w:right w:type="dxa" w:w="110"/>
            </w:tcMar>
          </w:tcPr>
          <w:p>
            <w:pPr>
              <w:spacing w:after="0"/>
            </w:pPr>
            <w:r>
              <w:rPr>
                <w:color w:val="1E293B"/>
                <w:sz w:val="18"/>
                <w:szCs w:val="18"/>
              </w:rPr>
              <w:t xml:space="preserve">4</w:t>
            </w:r>
          </w:p>
        </w:tc>
      </w:tr>
      <w:tr>
        <w:tc>
          <w:tcPr>
            <w:tcW w:type="dxa" w:w="700"/>
            <w:tcMar>
              <w:top w:type="dxa" w:w="70"/>
              <w:left w:type="dxa" w:w="110"/>
              <w:bottom w:type="dxa" w:w="70"/>
              <w:right w:type="dxa" w:w="110"/>
            </w:tcMar>
          </w:tcPr>
          <w:p>
            <w:pPr>
              <w:spacing w:after="0"/>
            </w:pPr>
            <w:r>
              <w:rPr>
                <w:color w:val="1E293B"/>
                <w:sz w:val="18"/>
                <w:szCs w:val="18"/>
              </w:rPr>
              <w:t xml:space="preserve">6</w:t>
            </w:r>
          </w:p>
        </w:tc>
        <w:tc>
          <w:tcPr>
            <w:tcW w:type="dxa" w:w="2650"/>
            <w:tcMar>
              <w:top w:type="dxa" w:w="70"/>
              <w:left w:type="dxa" w:w="110"/>
              <w:bottom w:type="dxa" w:w="70"/>
              <w:right w:type="dxa" w:w="110"/>
            </w:tcMar>
          </w:tcPr>
          <w:p>
            <w:pPr>
              <w:spacing w:after="0"/>
            </w:pPr>
            <w:r>
              <w:rPr>
                <w:color w:val="1E293B"/>
                <w:sz w:val="18"/>
                <w:szCs w:val="18"/>
              </w:rPr>
              <w:t xml:space="preserve">Beweging (Beweging)</w:t>
            </w:r>
          </w:p>
        </w:tc>
        <w:tc>
          <w:tcPr>
            <w:tcW w:type="dxa" w:w="4050"/>
            <w:tcMar>
              <w:top w:type="dxa" w:w="70"/>
              <w:left w:type="dxa" w:w="110"/>
              <w:bottom w:type="dxa" w:w="70"/>
              <w:right w:type="dxa" w:w="110"/>
            </w:tcMar>
          </w:tcPr>
          <w:p>
            <w:pPr>
              <w:spacing w:after="0"/>
            </w:pPr>
            <w:r>
              <w:rPr>
                <w:color w:val="1E293B"/>
                <w:sz w:val="18"/>
                <w:szCs w:val="18"/>
              </w:rPr>
              <w:t xml:space="preserve">Vooral het onderscheid sporten vs. laagintensief dagelijks bewegen, en krachtbehoud bij 50+</w:t>
            </w:r>
          </w:p>
        </w:tc>
        <w:tc>
          <w:tcPr>
            <w:tcW w:type="dxa" w:w="1900"/>
            <w:tcMar>
              <w:top w:type="dxa" w:w="70"/>
              <w:left w:type="dxa" w:w="110"/>
              <w:bottom w:type="dxa" w:w="70"/>
              <w:right w:type="dxa" w:w="110"/>
            </w:tcMar>
          </w:tcPr>
          <w:p>
            <w:pPr>
              <w:spacing w:after="0"/>
            </w:pPr>
            <w:r>
              <w:rPr>
                <w:color w:val="1E293B"/>
                <w:sz w:val="18"/>
                <w:szCs w:val="18"/>
              </w:rPr>
              <w:t xml:space="preserve">3</w:t>
            </w:r>
          </w:p>
        </w:tc>
      </w:tr>
      <w:tr>
        <w:tc>
          <w:tcPr>
            <w:tcW w:type="dxa" w:w="700"/>
            <w:tcMar>
              <w:top w:type="dxa" w:w="70"/>
              <w:left w:type="dxa" w:w="110"/>
              <w:bottom w:type="dxa" w:w="70"/>
              <w:right w:type="dxa" w:w="110"/>
            </w:tcMar>
          </w:tcPr>
          <w:p>
            <w:pPr>
              <w:spacing w:after="0"/>
            </w:pPr>
            <w:r>
              <w:rPr>
                <w:color w:val="1E293B"/>
                <w:sz w:val="18"/>
                <w:szCs w:val="18"/>
              </w:rPr>
              <w:t xml:space="preserve">7</w:t>
            </w:r>
          </w:p>
        </w:tc>
        <w:tc>
          <w:tcPr>
            <w:tcW w:type="dxa" w:w="2650"/>
            <w:tcMar>
              <w:top w:type="dxa" w:w="70"/>
              <w:left w:type="dxa" w:w="110"/>
              <w:bottom w:type="dxa" w:w="70"/>
              <w:right w:type="dxa" w:w="110"/>
            </w:tcMar>
          </w:tcPr>
          <w:p>
            <w:pPr>
              <w:spacing w:after="0"/>
            </w:pPr>
            <w:r>
              <w:rPr>
                <w:color w:val="1E293B"/>
                <w:sz w:val="18"/>
                <w:szCs w:val="18"/>
              </w:rPr>
              <w:t xml:space="preserve">Middelen (Middelen)</w:t>
            </w:r>
          </w:p>
        </w:tc>
        <w:tc>
          <w:tcPr>
            <w:tcW w:type="dxa" w:w="4050"/>
            <w:tcMar>
              <w:top w:type="dxa" w:w="70"/>
              <w:left w:type="dxa" w:w="110"/>
              <w:bottom w:type="dxa" w:w="70"/>
              <w:right w:type="dxa" w:w="110"/>
            </w:tcMar>
          </w:tcPr>
          <w:p>
            <w:pPr>
              <w:spacing w:after="0"/>
            </w:pPr>
            <w:r>
              <w:rPr>
                <w:color w:val="1E293B"/>
                <w:sz w:val="18"/>
                <w:szCs w:val="18"/>
              </w:rPr>
              <w:t xml:space="preserve">Alcohol concreet minderen; rookstop-verwijzing</w:t>
            </w:r>
          </w:p>
        </w:tc>
        <w:tc>
          <w:tcPr>
            <w:tcW w:type="dxa" w:w="1900"/>
            <w:tcMar>
              <w:top w:type="dxa" w:w="70"/>
              <w:left w:type="dxa" w:w="110"/>
              <w:bottom w:type="dxa" w:w="70"/>
              <w:right w:type="dxa" w:w="110"/>
            </w:tcMar>
          </w:tcPr>
          <w:p>
            <w:pPr>
              <w:spacing w:after="0"/>
            </w:pPr>
            <w:r>
              <w:rPr>
                <w:color w:val="1E293B"/>
                <w:sz w:val="18"/>
                <w:szCs w:val="18"/>
              </w:rPr>
              <w:t xml:space="preserve">2</w:t>
            </w:r>
          </w:p>
        </w:tc>
      </w:tr>
      <w:tr>
        <w:tc>
          <w:tcPr>
            <w:tcW w:type="dxa" w:w="700"/>
            <w:tcMar>
              <w:top w:type="dxa" w:w="70"/>
              <w:left w:type="dxa" w:w="110"/>
              <w:bottom w:type="dxa" w:w="70"/>
              <w:right w:type="dxa" w:w="110"/>
            </w:tcMar>
          </w:tcPr>
          <w:p>
            <w:pPr>
              <w:spacing w:after="0"/>
            </w:pPr>
            <w:r>
              <w:rPr>
                <w:color w:val="1E293B"/>
                <w:sz w:val="18"/>
                <w:szCs w:val="18"/>
              </w:rPr>
              <w:t xml:space="preserve">8</w:t>
            </w:r>
          </w:p>
        </w:tc>
        <w:tc>
          <w:tcPr>
            <w:tcW w:type="dxa" w:w="2650"/>
            <w:tcMar>
              <w:top w:type="dxa" w:w="70"/>
              <w:left w:type="dxa" w:w="110"/>
              <w:bottom w:type="dxa" w:w="70"/>
              <w:right w:type="dxa" w:w="110"/>
            </w:tcMar>
          </w:tcPr>
          <w:p>
            <w:pPr>
              <w:spacing w:after="0"/>
            </w:pPr>
            <w:r>
              <w:rPr>
                <w:color w:val="1E293B"/>
                <w:sz w:val="18"/>
                <w:szCs w:val="18"/>
              </w:rPr>
              <w:t xml:space="preserve">Sociale gezondheid (Sociaal)</w:t>
            </w:r>
          </w:p>
        </w:tc>
        <w:tc>
          <w:tcPr>
            <w:tcW w:type="dxa" w:w="4050"/>
            <w:tcMar>
              <w:top w:type="dxa" w:w="70"/>
              <w:left w:type="dxa" w:w="110"/>
              <w:bottom w:type="dxa" w:w="70"/>
              <w:right w:type="dxa" w:w="110"/>
            </w:tcMar>
          </w:tcPr>
          <w:p>
            <w:pPr>
              <w:spacing w:after="0"/>
            </w:pPr>
            <w:r>
              <w:rPr>
                <w:color w:val="1E293B"/>
                <w:sz w:val="18"/>
                <w:szCs w:val="18"/>
              </w:rPr>
              <w:t xml:space="preserve">Verbinding en steun als gezondheidsfactor</w:t>
            </w:r>
          </w:p>
        </w:tc>
        <w:tc>
          <w:tcPr>
            <w:tcW w:type="dxa" w:w="1900"/>
            <w:tcMar>
              <w:top w:type="dxa" w:w="70"/>
              <w:left w:type="dxa" w:w="110"/>
              <w:bottom w:type="dxa" w:w="70"/>
              <w:right w:type="dxa" w:w="110"/>
            </w:tcMar>
          </w:tcPr>
          <w:p>
            <w:pPr>
              <w:spacing w:after="0"/>
            </w:pPr>
            <w:r>
              <w:rPr>
                <w:color w:val="1E293B"/>
                <w:sz w:val="18"/>
                <w:szCs w:val="18"/>
              </w:rPr>
              <w:t xml:space="preserve">1</w:t>
            </w:r>
          </w:p>
        </w:tc>
      </w:tr>
      <w:tr>
        <w:tc>
          <w:tcPr>
            <w:tcW w:type="dxa" w:w="700"/>
            <w:tcMar>
              <w:top w:type="dxa" w:w="70"/>
              <w:left w:type="dxa" w:w="110"/>
              <w:bottom w:type="dxa" w:w="70"/>
              <w:right w:type="dxa" w:w="110"/>
            </w:tcMar>
          </w:tcPr>
          <w:p>
            <w:pPr>
              <w:spacing w:after="0"/>
            </w:pPr>
            <w:r>
              <w:rPr>
                <w:color w:val="1E293B"/>
                <w:sz w:val="18"/>
                <w:szCs w:val="18"/>
              </w:rPr>
              <w:t xml:space="preserve">9</w:t>
            </w:r>
          </w:p>
        </w:tc>
        <w:tc>
          <w:tcPr>
            <w:tcW w:type="dxa" w:w="2650"/>
            <w:tcMar>
              <w:top w:type="dxa" w:w="70"/>
              <w:left w:type="dxa" w:w="110"/>
              <w:bottom w:type="dxa" w:w="70"/>
              <w:right w:type="dxa" w:w="110"/>
            </w:tcMar>
          </w:tcPr>
          <w:p>
            <w:pPr>
              <w:spacing w:after="0"/>
            </w:pPr>
            <w:r>
              <w:rPr>
                <w:color w:val="1E293B"/>
                <w:sz w:val="18"/>
                <w:szCs w:val="18"/>
              </w:rPr>
              <w:t xml:space="preserve">Meten &amp; duiden (Algemeen)</w:t>
            </w:r>
          </w:p>
        </w:tc>
        <w:tc>
          <w:tcPr>
            <w:tcW w:type="dxa" w:w="4050"/>
            <w:tcMar>
              <w:top w:type="dxa" w:w="70"/>
              <w:left w:type="dxa" w:w="110"/>
              <w:bottom w:type="dxa" w:w="70"/>
              <w:right w:type="dxa" w:w="110"/>
            </w:tcMar>
          </w:tcPr>
          <w:p>
            <w:pPr>
              <w:spacing w:after="0"/>
            </w:pPr>
            <w:r>
              <w:rPr>
                <w:color w:val="1E293B"/>
                <w:sz w:val="18"/>
                <w:szCs w:val="18"/>
              </w:rPr>
              <w:t xml:space="preserve">Wearables/HRV zinvol gebruiken; omgaan met risicocijfers (geruststellend duiden); wanneer de huisarts inschakelen</w:t>
            </w:r>
          </w:p>
        </w:tc>
        <w:tc>
          <w:tcPr>
            <w:tcW w:type="dxa" w:w="1900"/>
            <w:tcMar>
              <w:top w:type="dxa" w:w="70"/>
              <w:left w:type="dxa" w:w="110"/>
              <w:bottom w:type="dxa" w:w="70"/>
              <w:right w:type="dxa" w:w="110"/>
            </w:tcMar>
          </w:tcPr>
          <w:p>
            <w:pPr>
              <w:spacing w:after="0"/>
            </w:pPr>
            <w:r>
              <w:rPr>
                <w:color w:val="1E293B"/>
                <w:sz w:val="18"/>
                <w:szCs w:val="18"/>
              </w:rPr>
              <w:t xml:space="preserve">3</w:t>
            </w:r>
          </w:p>
        </w:tc>
      </w:tr>
    </w:tbl>
    <w:p>
      <w:pPr>
        <w:spacing w:after="60"/>
      </w:pPr>
    </w:p>
    <w:p>
      <w:pPr>
        <w:spacing w:after="120"/>
      </w:pPr>
      <w:r>
        <w:rPr>
          <w:color w:val="1E293B"/>
        </w:rPr>
        <w:t xml:space="preserve">Totaal: een startset van </w:t>
      </w:r>
      <w:r>
        <w:rPr>
          <w:b/>
          <w:bCs/>
          <w:color w:val="1E293B"/>
        </w:rPr>
        <w:t xml:space="preserve">±27 documenten</w:t>
      </w:r>
      <w:r>
        <w:rPr>
          <w:color w:val="1E293B"/>
        </w:rPr>
        <w:t xml:space="preserve">. Reken op 30–45 minuten per document. Volgorde aanhouden: met alleen prio 1–3 wordt het advies al wezenlijk beter.</w:t>
      </w:r>
    </w:p>
    <w:p>
      <w:pPr>
        <w:pStyle w:val="Heading2"/>
        <w:spacing w:after="80" w:before="180"/>
      </w:pPr>
      <w:r>
        <w:rPr>
          <w:b/>
          <w:bCs/>
          <w:color w:val="1E293B"/>
        </w:rPr>
        <w:t xml:space="preserve">2.2 De vorm — zo sluit je tekst aan op hoe het systeem leest</w:t>
      </w:r>
    </w:p>
    <w:p>
      <w:pPr>
        <w:spacing w:after="120"/>
      </w:pPr>
      <w:r>
        <w:rPr>
          <w:color w:val="1E293B"/>
        </w:rPr>
        <w:t xml:space="preserve">Het systeem knipt elk document automatisch in fragmenten van ±800 tekens (±120 woorden) op alineagrenzen, en plakt het dichtstbijzijnde tussenkopje als context aan elk fragment. Het model citeert die fragmenten vervolgens vrijwel letterlijk in het advies aan de cliënt. Daaruit volgen de vormregels:</w:t>
      </w:r>
    </w:p>
    <w:p>
      <w:pPr>
        <w:pStyle w:val="ListParagraph"/>
        <w:numPr>
          <w:ilvl w:val="0"/>
          <w:numId w:val="1"/>
        </w:numPr>
        <w:spacing w:after="50"/>
      </w:pPr>
      <w:r>
        <w:rPr>
          <w:b/>
          <w:bCs/>
          <w:color w:val="1E293B"/>
        </w:rPr>
        <w:t xml:space="preserve">Lengte per document: 300–600 woorden.</w:t>
      </w:r>
      <w:r>
        <w:rPr>
          <w:color w:val="1E293B"/>
        </w:rPr>
        <w:t xml:space="preserve"> Liever meerdere gerichte documenten dan één alomvattend document — één situatie of profiel per document.</w:t>
      </w:r>
    </w:p>
    <w:p>
      <w:pPr>
        <w:pStyle w:val="ListParagraph"/>
        <w:numPr>
          <w:ilvl w:val="0"/>
          <w:numId w:val="1"/>
        </w:numPr>
        <w:spacing w:after="50"/>
      </w:pPr>
      <w:r>
        <w:rPr>
          <w:b/>
          <w:bCs/>
          <w:color w:val="1E293B"/>
        </w:rPr>
        <w:t xml:space="preserve">Tussenkopje boven elke 1 à 2 alinea's</w:t>
      </w:r>
      <w:r>
        <w:rPr>
          <w:color w:val="1E293B"/>
        </w:rPr>
        <w:t xml:space="preserve"> (vetgedrukt of met #). Alinea's van 60–120 woorden.</w:t>
      </w:r>
    </w:p>
    <w:p>
      <w:pPr>
        <w:pStyle w:val="ListParagraph"/>
        <w:numPr>
          <w:ilvl w:val="0"/>
          <w:numId w:val="1"/>
        </w:numPr>
        <w:spacing w:after="50"/>
      </w:pPr>
      <w:r>
        <w:rPr>
          <w:b/>
          <w:bCs/>
          <w:color w:val="1E293B"/>
        </w:rPr>
        <w:t xml:space="preserve">Elke alinea moet zelfstandig leesbaar zijn.</w:t>
      </w:r>
      <w:r>
        <w:rPr>
          <w:color w:val="1E293B"/>
        </w:rPr>
        <w:t xml:space="preserve"> Geen "zoals hierboven beschreven" of "zie vorige punt" — een fragment wordt los van de rest opgehaald.</w:t>
      </w:r>
    </w:p>
    <w:p>
      <w:pPr>
        <w:pStyle w:val="ListParagraph"/>
        <w:numPr>
          <w:ilvl w:val="0"/>
          <w:numId w:val="1"/>
        </w:numPr>
        <w:spacing w:after="50"/>
      </w:pPr>
      <w:r>
        <w:rPr>
          <w:b/>
          <w:bCs/>
          <w:color w:val="1E293B"/>
        </w:rPr>
        <w:t xml:space="preserve">Concreet en uitvoerbaar.</w:t>
      </w:r>
      <w:r>
        <w:rPr>
          <w:color w:val="1E293B"/>
        </w:rPr>
        <w:t xml:space="preserve"> Hoeveelheden, frequenties, voorbeelden en een opbouw: "2× per week vette vis (zalm, makreel, haring) en dagelijks een handvol ongezouten walnoten" — niet "eet gezonder". De rubric waarmee we adviezen scoren straft algemeenheden af.</w:t>
      </w:r>
    </w:p>
    <w:p>
      <w:pPr>
        <w:pStyle w:val="ListParagraph"/>
        <w:numPr>
          <w:ilvl w:val="0"/>
          <w:numId w:val="1"/>
        </w:numPr>
        <w:spacing w:after="50"/>
      </w:pPr>
      <w:r>
        <w:rPr>
          <w:b/>
          <w:bCs/>
          <w:color w:val="1E293B"/>
        </w:rPr>
        <w:t xml:space="preserve">Schrijf richting de cliënt</w:t>
      </w:r>
      <w:r>
        <w:rPr>
          <w:color w:val="1E293B"/>
        </w:rPr>
        <w:t xml:space="preserve"> ("u"), motiverend en zonder jargon — de tekst wordt bijna letterlijk hergebruikt in het advies.</w:t>
      </w:r>
    </w:p>
    <w:p>
      <w:pPr>
        <w:pStyle w:val="ListParagraph"/>
        <w:numPr>
          <w:ilvl w:val="0"/>
          <w:numId w:val="1"/>
        </w:numPr>
        <w:spacing w:after="50"/>
      </w:pPr>
      <w:r>
        <w:rPr>
          <w:b/>
          <w:bCs/>
          <w:color w:val="1E293B"/>
        </w:rPr>
        <w:t xml:space="preserve">Sluit af met een haalbaar eerste doel</w:t>
      </w:r>
      <w:r>
        <w:rPr>
          <w:color w:val="1E293B"/>
        </w:rPr>
        <w:t xml:space="preserve"> voor 4 weken per onderwerp ("begin met elke avond op hetzelfde tijdstip naar bed gedurende twee weken").</w:t>
      </w:r>
    </w:p>
    <w:p>
      <w:pPr>
        <w:spacing w:after="60"/>
      </w:pPr>
    </w:p>
    <w:tbl>
      <w:tblPr>
        <w:tblW w:type="dxa" w:w="9300"/>
        <w:tblBorders>
          <w:top w:val="single" w:color="A7F3D0" w:sz="4"/>
          <w:left w:val="single" w:color="04B788" w:sz="12"/>
          <w:bottom w:val="single" w:color="A7F3D0" w:sz="4"/>
          <w:right w:val="single" w:color="A7F3D0" w:sz="4"/>
          <w:insideH w:val="single" w:color="A7F3D0" w:sz="4"/>
          <w:insideV w:val="single" w:color="A7F3D0" w:sz="4"/>
        </w:tblBorders>
      </w:tblPr>
      <w:tblGrid>
        <w:gridCol w:w="9300"/>
      </w:tblGrid>
      <w:tr>
        <w:tc>
          <w:tcPr>
            <w:tcW w:type="dxa" w:w="9300"/>
            <w:shd w:fill="ECFDF5" w:color="auto" w:val="clear"/>
            <w:tcMar>
              <w:top w:type="dxa" w:w="110"/>
              <w:left w:type="dxa" w:w="160"/>
              <w:bottom w:type="dxa" w:w="110"/>
              <w:right w:type="dxa" w:w="140"/>
            </w:tcMar>
          </w:tcPr>
          <w:p>
            <w:pPr>
              <w:spacing w:after="80"/>
            </w:pPr>
            <w:r>
              <w:rPr>
                <w:b/>
                <w:bCs/>
                <w:color w:val="065F46"/>
                <w:sz w:val="19"/>
                <w:szCs w:val="19"/>
              </w:rPr>
              <w:t xml:space="preserve">SCHRIJFTEMPLATE PER DOCUMENT</w:t>
            </w:r>
          </w:p>
          <w:p>
            <w:pPr>
              <w:spacing w:after="60"/>
            </w:pPr>
            <w:r>
              <w:rPr>
                <w:b/>
                <w:bCs/>
                <w:color w:val="1E293B"/>
              </w:rPr>
              <w:t xml:space="preserve">Titel</w:t>
            </w:r>
            <w:r>
              <w:rPr>
                <w:color w:val="1E293B"/>
              </w:rPr>
              <w:t xml:space="preserve"> — specifiek, herkenbaar aan de situatie: "Inslaapproblemen door piekeren" (niet: "Slaap").</w:t>
            </w:r>
          </w:p>
          <w:p>
            <w:pPr>
              <w:spacing w:after="60"/>
            </w:pPr>
            <w:r>
              <w:rPr>
                <w:b/>
                <w:bCs/>
                <w:color w:val="1E293B"/>
              </w:rPr>
              <w:t xml:space="preserve">Voor wie / wanneer van toepassing</w:t>
            </w:r>
            <w:r>
              <w:rPr>
                <w:color w:val="1E293B"/>
              </w:rPr>
              <w:t xml:space="preserve"> (1 alinea): bij welk signaal of profiel dit advies past — bv. "bij een slaapscore van 2/5 of lager en veel piekeren voor het slapen".</w:t>
            </w:r>
          </w:p>
          <w:p>
            <w:pPr>
              <w:spacing w:after="60"/>
            </w:pPr>
            <w:r>
              <w:rPr>
                <w:b/>
                <w:bCs/>
                <w:color w:val="1E293B"/>
              </w:rPr>
              <w:t xml:space="preserve">Wat er speelt</w:t>
            </w:r>
            <w:r>
              <w:rPr>
                <w:color w:val="1E293B"/>
              </w:rPr>
              <w:t xml:space="preserve"> (1 alinea): korte uitleg van het mechanisme in gewone taal — waarom dit gezondheidswinst oplevert.</w:t>
            </w:r>
          </w:p>
          <w:p>
            <w:pPr>
              <w:spacing w:after="60"/>
            </w:pPr>
            <w:r>
              <w:rPr>
                <w:b/>
                <w:bCs/>
                <w:color w:val="1E293B"/>
              </w:rPr>
              <w:t xml:space="preserve">Wat u kunt doen</w:t>
            </w:r>
            <w:r>
              <w:rPr>
                <w:color w:val="1E293B"/>
              </w:rPr>
              <w:t xml:space="preserve"> (2–3 alinea's met kopjes): concrete acties met hoeveelheden, frequenties en alternatieven; van laagdrempelig naar ambitieuzer.</w:t>
            </w:r>
          </w:p>
          <w:p>
            <w:pPr>
              <w:spacing w:after="60"/>
            </w:pPr>
            <w:r>
              <w:rPr>
                <w:b/>
                <w:bCs/>
                <w:color w:val="1E293B"/>
              </w:rPr>
              <w:t xml:space="preserve">Eerste doel voor 4 weken</w:t>
            </w:r>
            <w:r>
              <w:rPr>
                <w:color w:val="1E293B"/>
              </w:rPr>
              <w:t xml:space="preserve"> (1–2 zinnen): klein, meetbaar, realistisch.</w:t>
            </w:r>
          </w:p>
          <w:p>
            <w:pPr>
              <w:spacing w:after="60"/>
            </w:pPr>
            <w:r>
              <w:rPr>
                <w:b/>
                <w:bCs/>
                <w:color w:val="1E293B"/>
              </w:rPr>
              <w:t xml:space="preserve">Wanneer overleggen met arts</w:t>
            </w:r>
            <w:r>
              <w:rPr>
                <w:color w:val="1E293B"/>
              </w:rPr>
              <w:t xml:space="preserve"> (1–2 zinnen, indien relevant): de grens van leefstijladvies.</w:t>
            </w:r>
          </w:p>
          <w:p>
            <w:pPr>
              <w:spacing w:after="60"/>
            </w:pPr>
            <w:r>
              <w:rPr>
                <w:color w:val="1E293B"/>
              </w:rPr>
              <w:t xml:space="preserve">Onderaan (niet in de lopende tekst): </w:t>
            </w:r>
            <w:r>
              <w:rPr>
                <w:b/>
                <w:bCs/>
                <w:color w:val="1E293B"/>
              </w:rPr>
              <w:t xml:space="preserve">bron/onderbouwing</w:t>
            </w:r>
            <w:r>
              <w:rPr>
                <w:color w:val="1E293B"/>
              </w:rPr>
              <w:t xml:space="preserve"> — richtlijn, review of leerboek. Dit gaat in een apart veld en is voor onze eigen verantwoording.</w:t>
            </w:r>
          </w:p>
        </w:tc>
      </w:tr>
    </w:tbl>
    <w:p>
      <w:pPr>
        <w:spacing w:after="60"/>
      </w:pPr>
    </w:p>
    <w:p>
      <w:pPr>
        <w:pStyle w:val="Heading2"/>
        <w:spacing w:after="80" w:before="180"/>
      </w:pPr>
      <w:r>
        <w:rPr>
          <w:b/>
          <w:bCs/>
          <w:color w:val="1E293B"/>
        </w:rPr>
        <w:t xml:space="preserve">2.3 Spelregels (belangrijk)</w:t>
      </w:r>
    </w:p>
    <w:p>
      <w:pPr>
        <w:pStyle w:val="ListParagraph"/>
        <w:numPr>
          <w:ilvl w:val="0"/>
          <w:numId w:val="1"/>
        </w:numPr>
        <w:spacing w:after="50"/>
      </w:pPr>
      <w:r>
        <w:rPr>
          <w:b/>
          <w:bCs/>
          <w:color w:val="1E293B"/>
        </w:rPr>
        <w:t xml:space="preserve">Geen supplementdoseringen</w:t>
      </w:r>
      <w:r>
        <w:rPr>
          <w:color w:val="1E293B"/>
        </w:rPr>
        <w:t xml:space="preserve"> (geen mg/IE/innameschema's) — supplement benoemen mag, de dosering hoort bij het consult. Dit is vastgelegd beleid; het model wordt hier ook op gecontroleerd. Wil je dit anders, dan is dat een beleidsbesluit dat we eerst samen nemen.</w:t>
      </w:r>
    </w:p>
    <w:p>
      <w:pPr>
        <w:pStyle w:val="ListParagraph"/>
        <w:numPr>
          <w:ilvl w:val="0"/>
          <w:numId w:val="1"/>
        </w:numPr>
        <w:spacing w:after="50"/>
      </w:pPr>
      <w:r>
        <w:rPr>
          <w:b/>
          <w:bCs/>
          <w:color w:val="1E293B"/>
        </w:rPr>
        <w:t xml:space="preserve">Geen diagnoses, geen medicatie-adviezen, geen behandeladvies.</w:t>
      </w:r>
      <w:r>
        <w:rPr>
          <w:color w:val="1E293B"/>
        </w:rPr>
        <w:t xml:space="preserve"> Waar medische beoordeling nodig is: "bespreek dit met uw (huis)arts".</w:t>
      </w:r>
    </w:p>
    <w:p>
      <w:pPr>
        <w:pStyle w:val="ListParagraph"/>
        <w:numPr>
          <w:ilvl w:val="0"/>
          <w:numId w:val="1"/>
        </w:numPr>
        <w:spacing w:after="50"/>
      </w:pPr>
      <w:r>
        <w:rPr>
          <w:b/>
          <w:bCs/>
          <w:color w:val="1E293B"/>
        </w:rPr>
        <w:t xml:space="preserve">Geen cliëntgegevens of herleidbare casuïstiek</w:t>
      </w:r>
      <w:r>
        <w:rPr>
          <w:color w:val="1E293B"/>
        </w:rPr>
        <w:t xml:space="preserve"> in kennisdocumenten — ze zijn generiek. (Geanonimiseerde casussen lopen via de aparte annotatiemodule.)</w:t>
      </w:r>
    </w:p>
    <w:p>
      <w:pPr>
        <w:pStyle w:val="Heading2"/>
        <w:spacing w:after="80" w:before="180"/>
      </w:pPr>
      <w:r>
        <w:rPr>
          <w:b/>
          <w:bCs/>
          <w:color w:val="1E293B"/>
        </w:rPr>
        <w:t xml:space="preserve">2.4 Hoe aanleveren</w:t>
      </w:r>
    </w:p>
    <w:p>
      <w:pPr>
        <w:spacing w:after="60"/>
        <w:ind w:left="360" w:hanging="360"/>
      </w:pPr>
      <w:r>
        <w:rPr>
          <w:b/>
          <w:bCs/>
          <w:color w:val="1F1683"/>
        </w:rPr>
        <w:t xml:space="preserve">1. </w:t>
      </w:r>
      <w:r>
        <w:rPr>
          <w:b/>
          <w:bCs/>
          <w:color w:val="1E293B"/>
        </w:rPr>
        <w:t xml:space="preserve">Voorkeur: rechtstreeks in het platform.</w:t>
      </w:r>
      <w:r>
        <w:rPr>
          <w:color w:val="1E293B"/>
        </w:rPr>
        <w:t xml:space="preserve"> Kennisbank → "Nieuw kennisdocument": titel, domein kiezen, tekst plakken, bron invullen. Het document staat dan op "Concept"; na een tweede blik zetten we het op "Actief" en indexeert het systeem het automatisch.</w:t>
      </w:r>
    </w:p>
    <w:p>
      <w:pPr>
        <w:spacing w:after="60"/>
        <w:ind w:left="360" w:hanging="360"/>
      </w:pPr>
      <w:r>
        <w:rPr>
          <w:b/>
          <w:bCs/>
          <w:color w:val="1F1683"/>
        </w:rPr>
        <w:t xml:space="preserve">2. </w:t>
      </w:r>
      <w:r>
        <w:rPr>
          <w:b/>
          <w:bCs/>
          <w:color w:val="1E293B"/>
        </w:rPr>
        <w:t xml:space="preserve">Alternatief: als Word- of tekstbestand mailen</w:t>
      </w:r>
      <w:r>
        <w:rPr>
          <w:color w:val="1E293B"/>
        </w:rPr>
        <w:t xml:space="preserve"> (één document per onderwerp, met titel + domein + bron erbij) — dan voert Pieter-Frank ze in.</w:t>
      </w:r>
    </w:p>
    <w:p>
      <w:pPr>
        <w:spacing w:after="120"/>
      </w:pPr>
      <w:r>
        <w:rPr>
          <w:color w:val="1E293B"/>
        </w:rPr>
        <w:t xml:space="preserve">Na elke ±10 nieuwe documenten draaien we de AI-eval op onze drie vaste testcasussen; de "concreetheid"-score laat dan direct zien of de nieuwe kennis aankomt.</w:t>
      </w:r>
    </w:p>
    <w:p>
      <w:pPr>
        <w:pStyle w:val="Heading2"/>
        <w:spacing w:after="80" w:before="180"/>
      </w:pPr>
      <w:r>
        <w:rPr>
          <w:b/>
          <w:bCs/>
          <w:color w:val="1E293B"/>
        </w:rPr>
        <w:t xml:space="preserve">2.5 Voorbeeld (ter illustratie van toon en dichtheid)</w:t>
      </w:r>
    </w:p>
    <w:tbl>
      <w:tblPr>
        <w:tblW w:type="dxa" w:w="9300"/>
        <w:tblBorders>
          <w:top w:val="single" w:color="A7F3D0" w:sz="4"/>
          <w:left w:val="single" w:color="04B788" w:sz="12"/>
          <w:bottom w:val="single" w:color="A7F3D0" w:sz="4"/>
          <w:right w:val="single" w:color="A7F3D0" w:sz="4"/>
          <w:insideH w:val="single" w:color="A7F3D0" w:sz="4"/>
          <w:insideV w:val="single" w:color="A7F3D0" w:sz="4"/>
        </w:tblBorders>
      </w:tblPr>
      <w:tblGrid>
        <w:gridCol w:w="9300"/>
      </w:tblGrid>
      <w:tr>
        <w:tc>
          <w:tcPr>
            <w:tcW w:type="dxa" w:w="9300"/>
            <w:shd w:fill="ECFDF5" w:color="auto" w:val="clear"/>
            <w:tcMar>
              <w:top w:type="dxa" w:w="110"/>
              <w:left w:type="dxa" w:w="160"/>
              <w:bottom w:type="dxa" w:w="110"/>
              <w:right w:type="dxa" w:w="140"/>
            </w:tcMar>
          </w:tcPr>
          <w:p>
            <w:pPr>
              <w:spacing w:after="80"/>
            </w:pPr>
            <w:r>
              <w:rPr>
                <w:b/>
                <w:bCs/>
                <w:color w:val="065F46"/>
                <w:sz w:val="19"/>
                <w:szCs w:val="19"/>
              </w:rPr>
              <w:t xml:space="preserve">VOORBEELD — fragment uit "Inslaapproblemen door piekeren" (domein: Slaap)</w:t>
            </w:r>
          </w:p>
          <w:p>
            <w:pPr>
              <w:spacing w:after="60"/>
            </w:pPr>
            <w:r>
              <w:rPr>
                <w:b/>
                <w:bCs/>
                <w:color w:val="1E293B"/>
              </w:rPr>
              <w:t xml:space="preserve">Voor wie:</w:t>
            </w:r>
            <w:r>
              <w:rPr>
                <w:color w:val="1E293B"/>
              </w:rPr>
              <w:t xml:space="preserve"> dit advies past bij mensen die aangeven slecht in slaap te vallen (score 2/5 of lager), vaak door een hoofd dat "aan" blijft staan — ook als de bloedwaarden verder uitstekend zijn.</w:t>
            </w:r>
          </w:p>
          <w:p>
            <w:pPr>
              <w:spacing w:after="60"/>
            </w:pPr>
            <w:r>
              <w:rPr>
                <w:b/>
                <w:bCs/>
                <w:color w:val="1E293B"/>
              </w:rPr>
              <w:t xml:space="preserve">Vaste slaaptijden als anker.</w:t>
            </w:r>
            <w:r>
              <w:rPr>
                <w:color w:val="1E293B"/>
              </w:rPr>
              <w:t xml:space="preserve"> Ga twee weken lang elke dag op hetzelfde tijdstip naar bed en sta op hetzelfde tijdstip op, ook in het weekend (maximaal een uur verschil). Een vast ritme traint uw biologische klok en is de meest onderbouwde eerste stap bij inslaapproblemen.</w:t>
            </w:r>
          </w:p>
          <w:p>
            <w:pPr>
              <w:spacing w:after="60"/>
            </w:pPr>
            <w:r>
              <w:rPr>
                <w:b/>
                <w:bCs/>
                <w:color w:val="1E293B"/>
              </w:rPr>
              <w:t xml:space="preserve">Bouw een landingsbaan in.</w:t>
            </w:r>
            <w:r>
              <w:rPr>
                <w:color w:val="1E293B"/>
              </w:rPr>
              <w:t xml:space="preserve"> Reserveer de laatste 45 minuten voor het slapen voor ontspanning zonder schermen: lezen, rustige muziek, een korte ademhalingsoefening (bijvoorbeeld 4 tellen in, 6 tellen uit, 5 minuten). Piekert u in bed, sta dan op en schrijf de gedachten kort op — en ga pas terug als u slaperig bent.</w:t>
            </w:r>
          </w:p>
          <w:p>
            <w:pPr>
              <w:spacing w:after="60"/>
            </w:pPr>
            <w:r>
              <w:rPr>
                <w:b/>
                <w:bCs/>
                <w:color w:val="1E293B"/>
              </w:rPr>
              <w:t xml:space="preserve">Eerste doel voor 4 weken:</w:t>
            </w:r>
            <w:r>
              <w:rPr>
                <w:color w:val="1E293B"/>
              </w:rPr>
              <w:t xml:space="preserve"> kies één vast bedtijdstip en houd dat minimaal 5 avonden per week vol; noteer elke ochtend kort hoe u geslapen heeft.</w:t>
            </w:r>
          </w:p>
        </w:tc>
      </w:tr>
    </w:tbl>
    <w:p>
      <w:pPr>
        <w:pStyle w:val="Heading1"/>
        <w:spacing w:after="120" w:before="280"/>
      </w:pPr>
      <w:r>
        <w:rPr>
          <w:b/>
          <w:bCs/>
          <w:color w:val="1F1683"/>
        </w:rPr>
        <w:t xml:space="preserve">3. Taak 2 — Als-dan richtlijnen vastleggen</w:t>
      </w:r>
    </w:p>
    <w:p>
      <w:pPr>
        <w:spacing w:after="120"/>
      </w:pPr>
      <w:r>
        <w:rPr>
          <w:color w:val="1E293B"/>
        </w:rPr>
        <w:t xml:space="preserve">In Kennisbank → "Als-dan richtlijnen" bouw je beslisregels met een conditie (biomarker, vragenlijstscore, ziekterisico, BMI, leeftijd, Resilience Score, geslacht — te combineren met ÉN) en een instructie. Matcht een regel bij een cliënt, dan wordt de instructie gegarandeerd in het advies toegepast — dit is jouw als-dan-kennis, reproduceerbaar en controleerbaar.</w:t>
      </w:r>
    </w:p>
    <w:p>
      <w:pPr>
        <w:spacing w:after="120"/>
      </w:pPr>
      <w:r>
        <w:rPr>
          <w:b/>
          <w:bCs/>
          <w:color w:val="1E293B"/>
        </w:rPr>
        <w:t xml:space="preserve">Vorm van de instructie:</w:t>
      </w:r>
      <w:r>
        <w:rPr>
          <w:color w:val="1E293B"/>
        </w:rPr>
        <w:t xml:space="preserve"> 1–3 zinnen, gebiedende wijs, gericht op wat het advies moet doen ("Leg de nadruk op…", "Adviseer eerst…", "Benoem dat…"). Geen doseringen.</w:t>
      </w:r>
    </w:p>
    <w:p>
      <w:pPr>
        <w:spacing w:after="120"/>
      </w:pPr>
      <w:r>
        <w:rPr>
          <w:color w:val="1E293B"/>
        </w:rPr>
        <w:t xml:space="preserve">Startset ter beoordeling — pas aan, schrap of vul aan naar jouw inzicht:</w:t>
      </w:r>
    </w:p>
    <w:tbl>
      <w:tblPr>
        <w:tblW w:type="dxa" w:w="9300"/>
        <w:tblBorders>
          <w:top w:val="single" w:color="E2E8F0" w:sz="4"/>
          <w:left w:val="single" w:color="E2E8F0" w:sz="4"/>
          <w:bottom w:val="single" w:color="E2E8F0" w:sz="4"/>
          <w:right w:val="single" w:color="E2E8F0" w:sz="4"/>
          <w:insideH w:val="single" w:color="E2E8F0" w:sz="4"/>
          <w:insideV w:val="single" w:color="E2E8F0" w:sz="4"/>
        </w:tblBorders>
      </w:tblPr>
      <w:tblGrid>
        <w:gridCol w:w="4200"/>
        <w:gridCol w:w="5100"/>
      </w:tblGrid>
      <w:tr>
        <w:trPr>
          <w:tblHeader/>
        </w:trPr>
        <w:tc>
          <w:tcPr>
            <w:tcW w:type="dxa" w:w="4200"/>
            <w:shd w:fill="1F1683" w:color="auto" w:val="clear"/>
            <w:tcMar>
              <w:top w:type="dxa" w:w="70"/>
              <w:left w:type="dxa" w:w="110"/>
              <w:bottom w:type="dxa" w:w="70"/>
              <w:right w:type="dxa" w:w="110"/>
            </w:tcMar>
          </w:tcPr>
          <w:p>
            <w:pPr>
              <w:spacing w:after="0"/>
            </w:pPr>
            <w:r>
              <w:rPr>
                <w:b/>
                <w:bCs/>
                <w:color w:val="FFFFFF"/>
                <w:sz w:val="18"/>
                <w:szCs w:val="18"/>
              </w:rPr>
              <w:t xml:space="preserve">ALS (conditie)</w:t>
            </w:r>
          </w:p>
        </w:tc>
        <w:tc>
          <w:tcPr>
            <w:tcW w:type="dxa" w:w="5100"/>
            <w:shd w:fill="1F1683" w:color="auto" w:val="clear"/>
            <w:tcMar>
              <w:top w:type="dxa" w:w="70"/>
              <w:left w:type="dxa" w:w="110"/>
              <w:bottom w:type="dxa" w:w="70"/>
              <w:right w:type="dxa" w:w="110"/>
            </w:tcMar>
          </w:tcPr>
          <w:p>
            <w:pPr>
              <w:spacing w:after="0"/>
            </w:pPr>
            <w:r>
              <w:rPr>
                <w:b/>
                <w:bCs/>
                <w:color w:val="FFFFFF"/>
                <w:sz w:val="18"/>
                <w:szCs w:val="18"/>
              </w:rPr>
              <w:t xml:space="preserve">DAN (instructie voor het advies)</w:t>
            </w:r>
          </w:p>
        </w:tc>
      </w:tr>
      <w:tr>
        <w:tc>
          <w:tcPr>
            <w:tcW w:type="dxa" w:w="4200"/>
            <w:tcMar>
              <w:top w:type="dxa" w:w="70"/>
              <w:left w:type="dxa" w:w="110"/>
              <w:bottom w:type="dxa" w:w="70"/>
              <w:right w:type="dxa" w:w="110"/>
            </w:tcMar>
          </w:tcPr>
          <w:p>
            <w:pPr>
              <w:spacing w:after="0"/>
            </w:pPr>
            <w:r>
              <w:rPr>
                <w:color w:val="1E293B"/>
                <w:sz w:val="18"/>
                <w:szCs w:val="18"/>
              </w:rPr>
              <w:t xml:space="preserve">Resilience Score &lt; 25</w:t>
            </w:r>
          </w:p>
        </w:tc>
        <w:tc>
          <w:tcPr>
            <w:tcW w:type="dxa" w:w="5100"/>
            <w:tcMar>
              <w:top w:type="dxa" w:w="70"/>
              <w:left w:type="dxa" w:w="110"/>
              <w:bottom w:type="dxa" w:w="70"/>
              <w:right w:type="dxa" w:w="110"/>
            </w:tcMar>
          </w:tcPr>
          <w:p>
            <w:pPr>
              <w:spacing w:after="0"/>
            </w:pPr>
            <w:r>
              <w:rPr>
                <w:color w:val="1E293B"/>
                <w:sz w:val="18"/>
                <w:szCs w:val="18"/>
              </w:rPr>
              <w:t xml:space="preserve">Benoem dat de uitslag in het medisch team wordt besproken en dat de cliënt een uitgebreider consult krijgt.</w:t>
            </w:r>
          </w:p>
        </w:tc>
      </w:tr>
      <w:tr>
        <w:tc>
          <w:tcPr>
            <w:tcW w:type="dxa" w:w="4200"/>
            <w:tcMar>
              <w:top w:type="dxa" w:w="70"/>
              <w:left w:type="dxa" w:w="110"/>
              <w:bottom w:type="dxa" w:w="70"/>
              <w:right w:type="dxa" w:w="110"/>
            </w:tcMar>
          </w:tcPr>
          <w:p>
            <w:pPr>
              <w:spacing w:after="0"/>
            </w:pPr>
            <w:r>
              <w:rPr>
                <w:color w:val="1E293B"/>
                <w:sz w:val="18"/>
                <w:szCs w:val="18"/>
              </w:rPr>
              <w:t xml:space="preserve">LDL &gt; 4,0 (of ApoB wijkt af)</w:t>
            </w:r>
          </w:p>
        </w:tc>
        <w:tc>
          <w:tcPr>
            <w:tcW w:type="dxa" w:w="5100"/>
            <w:tcMar>
              <w:top w:type="dxa" w:w="70"/>
              <w:left w:type="dxa" w:w="110"/>
              <w:bottom w:type="dxa" w:w="70"/>
              <w:right w:type="dxa" w:w="110"/>
            </w:tcMar>
          </w:tcPr>
          <w:p>
            <w:pPr>
              <w:spacing w:after="0"/>
            </w:pPr>
            <w:r>
              <w:rPr>
                <w:color w:val="1E293B"/>
                <w:sz w:val="18"/>
                <w:szCs w:val="18"/>
              </w:rPr>
              <w:t xml:space="preserve">Adviseer eerst medische verificatie van het lipidenprofiel via de (huis)arts; geen leefstijl-geruststelling als enige boodschap.</w:t>
            </w:r>
          </w:p>
        </w:tc>
      </w:tr>
      <w:tr>
        <w:tc>
          <w:tcPr>
            <w:tcW w:type="dxa" w:w="4200"/>
            <w:tcMar>
              <w:top w:type="dxa" w:w="70"/>
              <w:left w:type="dxa" w:w="110"/>
              <w:bottom w:type="dxa" w:w="70"/>
              <w:right w:type="dxa" w:w="110"/>
            </w:tcMar>
          </w:tcPr>
          <w:p>
            <w:pPr>
              <w:spacing w:after="0"/>
            </w:pPr>
            <w:r>
              <w:rPr>
                <w:color w:val="1E293B"/>
                <w:sz w:val="18"/>
                <w:szCs w:val="18"/>
              </w:rPr>
              <w:t xml:space="preserve">Omega-6/omega-3 wijkt af ÉN familiegeschiedenis hart- en vaatziekten</w:t>
            </w:r>
          </w:p>
        </w:tc>
        <w:tc>
          <w:tcPr>
            <w:tcW w:type="dxa" w:w="5100"/>
            <w:tcMar>
              <w:top w:type="dxa" w:w="70"/>
              <w:left w:type="dxa" w:w="110"/>
              <w:bottom w:type="dxa" w:w="70"/>
              <w:right w:type="dxa" w:w="110"/>
            </w:tcMar>
          </w:tcPr>
          <w:p>
            <w:pPr>
              <w:spacing w:after="0"/>
            </w:pPr>
            <w:r>
              <w:rPr>
                <w:color w:val="1E293B"/>
                <w:sz w:val="18"/>
                <w:szCs w:val="18"/>
              </w:rPr>
              <w:t xml:space="preserve">Geef voeding rijk aan omega-3 (vette vis) prioriteit en benoem dat suppletie in het consult wordt besproken.</w:t>
            </w:r>
          </w:p>
        </w:tc>
      </w:tr>
      <w:tr>
        <w:tc>
          <w:tcPr>
            <w:tcW w:type="dxa" w:w="4200"/>
            <w:tcMar>
              <w:top w:type="dxa" w:w="70"/>
              <w:left w:type="dxa" w:w="110"/>
              <w:bottom w:type="dxa" w:w="70"/>
              <w:right w:type="dxa" w:w="110"/>
            </w:tcMar>
          </w:tcPr>
          <w:p>
            <w:pPr>
              <w:spacing w:after="0"/>
            </w:pPr>
            <w:r>
              <w:rPr>
                <w:color w:val="1E293B"/>
                <w:sz w:val="18"/>
                <w:szCs w:val="18"/>
              </w:rPr>
              <w:t xml:space="preserve">Alcoholvraag score ≥ 4/5</w:t>
            </w:r>
          </w:p>
        </w:tc>
        <w:tc>
          <w:tcPr>
            <w:tcW w:type="dxa" w:w="5100"/>
            <w:tcMar>
              <w:top w:type="dxa" w:w="70"/>
              <w:left w:type="dxa" w:w="110"/>
              <w:bottom w:type="dxa" w:w="70"/>
              <w:right w:type="dxa" w:w="110"/>
            </w:tcMar>
          </w:tcPr>
          <w:p>
            <w:pPr>
              <w:spacing w:after="0"/>
            </w:pPr>
            <w:r>
              <w:rPr>
                <w:color w:val="1E293B"/>
                <w:sz w:val="18"/>
                <w:szCs w:val="18"/>
              </w:rPr>
              <w:t xml:space="preserve">Benoem alcohol expliciet als aandachtspunt en verwijs het bepalen van een afbouwplan naar het gesprek.</w:t>
            </w:r>
          </w:p>
        </w:tc>
      </w:tr>
      <w:tr>
        <w:tc>
          <w:tcPr>
            <w:tcW w:type="dxa" w:w="4200"/>
            <w:tcMar>
              <w:top w:type="dxa" w:w="70"/>
              <w:left w:type="dxa" w:w="110"/>
              <w:bottom w:type="dxa" w:w="70"/>
              <w:right w:type="dxa" w:w="110"/>
            </w:tcMar>
          </w:tcPr>
          <w:p>
            <w:pPr>
              <w:spacing w:after="0"/>
            </w:pPr>
            <w:r>
              <w:rPr>
                <w:color w:val="1E293B"/>
                <w:sz w:val="18"/>
                <w:szCs w:val="18"/>
              </w:rPr>
              <w:t xml:space="preserve">Creatinine wijkt af ÉN sportvraag ≥ 4/5</w:t>
            </w:r>
          </w:p>
        </w:tc>
        <w:tc>
          <w:tcPr>
            <w:tcW w:type="dxa" w:w="5100"/>
            <w:tcMar>
              <w:top w:type="dxa" w:w="70"/>
              <w:left w:type="dxa" w:w="110"/>
              <w:bottom w:type="dxa" w:w="70"/>
              <w:right w:type="dxa" w:w="110"/>
            </w:tcMar>
          </w:tcPr>
          <w:p>
            <w:pPr>
              <w:spacing w:after="0"/>
            </w:pPr>
            <w:r>
              <w:rPr>
                <w:color w:val="1E293B"/>
                <w:sz w:val="18"/>
                <w:szCs w:val="18"/>
              </w:rPr>
              <w:t xml:space="preserve">Duid de verhoogde creatinine als waarschijnlijk passend bij spiermassa; adviseer alleen bij twijfel een nierfunctiecheck via de huisarts.</w:t>
            </w:r>
          </w:p>
        </w:tc>
      </w:tr>
    </w:tbl>
    <w:p>
      <w:pPr>
        <w:spacing w:after="60"/>
      </w:pPr>
    </w:p>
    <w:p>
      <w:pPr>
        <w:spacing w:after="120"/>
      </w:pPr>
      <w:r>
        <w:rPr>
          <w:color w:val="1E293B"/>
        </w:rPr>
        <w:t xml:space="preserve">Denk daarnaast aan regels voor situaties die jij vaak ziet: zwangerschapswens, specifieke medicatie in de vragenlijst, hoge lichamelijke-klachtenscore, lage motivatiescore (kleinere doelen), enzovoort. Tien tot vijftien goede regels is een prima eerste niveau.</w:t>
      </w:r>
    </w:p>
    <w:p>
      <w:pPr>
        <w:pStyle w:val="Heading1"/>
        <w:spacing w:after="120" w:before="280"/>
      </w:pPr>
      <w:r>
        <w:rPr>
          <w:b/>
          <w:bCs/>
          <w:color w:val="1F1683"/>
        </w:rPr>
        <w:t xml:space="preserve">4. Taak 3 — Adviezen beoordelen en goedkeuren (doorlopend)</w:t>
      </w:r>
    </w:p>
    <w:p>
      <w:pPr>
        <w:pStyle w:val="ListParagraph"/>
        <w:numPr>
          <w:ilvl w:val="0"/>
          <w:numId w:val="1"/>
        </w:numPr>
        <w:spacing w:after="50"/>
      </w:pPr>
      <w:r>
        <w:rPr>
          <w:color w:val="1E293B"/>
        </w:rPr>
        <w:t xml:space="preserve">Open in het cliëntdossier het AI-conceptadvies, redigeer waar nodig en keur goed. </w:t>
      </w:r>
      <w:r>
        <w:rPr>
          <w:b/>
          <w:bCs/>
          <w:color w:val="1E293B"/>
        </w:rPr>
        <w:t xml:space="preserve">Elke goedkeuring wordt automatisch een voorbeeld</w:t>
      </w:r>
      <w:r>
        <w:rPr>
          <w:color w:val="1E293B"/>
        </w:rPr>
        <w:t xml:space="preserve"> waarmee het volgende advies beter wordt — de eerste tien goedkeuringen hebben het meeste effect.</w:t>
      </w:r>
    </w:p>
    <w:p>
      <w:pPr>
        <w:pStyle w:val="ListParagraph"/>
        <w:numPr>
          <w:ilvl w:val="0"/>
          <w:numId w:val="1"/>
        </w:numPr>
        <w:spacing w:after="50"/>
      </w:pPr>
      <w:r>
        <w:rPr>
          <w:b/>
          <w:bCs/>
          <w:color w:val="1E293B"/>
        </w:rPr>
        <w:t xml:space="preserve">Redigeer binnen de vaste opbouw</w:t>
      </w:r>
      <w:r>
        <w:rPr>
          <w:color w:val="1E293B"/>
        </w:rPr>
        <w:t xml:space="preserve"> (ALGEMEEN BEELD → TOP 3 AANBEVELINGEN → OVERIGE PUNTEN → VERVOLG) en laat de bronverwijzingen [1], [2] staan — het systeem leert de vorm mee van jouw goedgekeurde versies.</w:t>
      </w:r>
    </w:p>
    <w:p>
      <w:pPr>
        <w:pStyle w:val="ListParagraph"/>
        <w:numPr>
          <w:ilvl w:val="0"/>
          <w:numId w:val="1"/>
        </w:numPr>
        <w:spacing w:after="50"/>
      </w:pPr>
      <w:r>
        <w:rPr>
          <w:color w:val="1E293B"/>
        </w:rPr>
        <w:t xml:space="preserve">Mis je stelselmatig hetzelfde (bv. te vage doelen bij voeding)? Dat is meestal een gat in de kennisbank — noteer het als nieuw kennisdocument in plaats van het elke keer handmatig te repareren.</w:t>
      </w:r>
    </w:p>
    <w:p>
      <w:pPr>
        <w:pStyle w:val="ListParagraph"/>
        <w:numPr>
          <w:ilvl w:val="0"/>
          <w:numId w:val="1"/>
        </w:numPr>
        <w:spacing w:after="50"/>
      </w:pPr>
      <w:r>
        <w:rPr>
          <w:color w:val="1E293B"/>
        </w:rPr>
        <w:t xml:space="preserve">De vaste opbouw zelf is aan te passen via Kennisbank → "Adviessjabloon" — kijk er één keer kritisch naar; wijzigingen gelden direct.</w:t>
      </w:r>
    </w:p>
    <w:p>
      <w:pPr>
        <w:pStyle w:val="Heading1"/>
        <w:spacing w:after="120" w:before="280"/>
      </w:pPr>
      <w:r>
        <w:rPr>
          <w:b/>
          <w:bCs/>
          <w:color w:val="1F1683"/>
        </w:rPr>
        <w:t xml:space="preserve">5. Voorstel planning</w:t>
      </w:r>
    </w:p>
    <w:tbl>
      <w:tblPr>
        <w:tblW w:type="dxa" w:w="93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7100"/>
      </w:tblGrid>
      <w:tr>
        <w:trPr>
          <w:tblHeader/>
        </w:trPr>
        <w:tc>
          <w:tcPr>
            <w:tcW w:type="dxa" w:w="2200"/>
            <w:shd w:fill="1F1683" w:color="auto" w:val="clear"/>
            <w:tcMar>
              <w:top w:type="dxa" w:w="70"/>
              <w:left w:type="dxa" w:w="110"/>
              <w:bottom w:type="dxa" w:w="70"/>
              <w:right w:type="dxa" w:w="110"/>
            </w:tcMar>
          </w:tcPr>
          <w:p>
            <w:pPr>
              <w:spacing w:after="0"/>
            </w:pPr>
            <w:r>
              <w:rPr>
                <w:b/>
                <w:bCs/>
                <w:color w:val="FFFFFF"/>
                <w:sz w:val="18"/>
                <w:szCs w:val="18"/>
              </w:rPr>
              <w:t xml:space="preserve">Wanneer</w:t>
            </w:r>
          </w:p>
        </w:tc>
        <w:tc>
          <w:tcPr>
            <w:tcW w:type="dxa" w:w="7100"/>
            <w:shd w:fill="1F1683" w:color="auto" w:val="clear"/>
            <w:tcMar>
              <w:top w:type="dxa" w:w="70"/>
              <w:left w:type="dxa" w:w="110"/>
              <w:bottom w:type="dxa" w:w="70"/>
              <w:right w:type="dxa" w:w="110"/>
            </w:tcMar>
          </w:tcPr>
          <w:p>
            <w:pPr>
              <w:spacing w:after="0"/>
            </w:pPr>
            <w:r>
              <w:rPr>
                <w:b/>
                <w:bCs/>
                <w:color w:val="FFFFFF"/>
                <w:sz w:val="18"/>
                <w:szCs w:val="18"/>
              </w:rPr>
              <w:t xml:space="preserve">Wat</w:t>
            </w:r>
          </w:p>
        </w:tc>
      </w:tr>
      <w:tr>
        <w:tc>
          <w:tcPr>
            <w:tcW w:type="dxa" w:w="2200"/>
            <w:tcMar>
              <w:top w:type="dxa" w:w="70"/>
              <w:left w:type="dxa" w:w="110"/>
              <w:bottom w:type="dxa" w:w="70"/>
              <w:right w:type="dxa" w:w="110"/>
            </w:tcMar>
          </w:tcPr>
          <w:p>
            <w:pPr>
              <w:spacing w:after="0"/>
            </w:pPr>
            <w:r>
              <w:rPr>
                <w:color w:val="1E293B"/>
                <w:sz w:val="18"/>
                <w:szCs w:val="18"/>
              </w:rPr>
              <w:t xml:space="preserve">Week 1</w:t>
            </w:r>
          </w:p>
        </w:tc>
        <w:tc>
          <w:tcPr>
            <w:tcW w:type="dxa" w:w="7100"/>
            <w:tcMar>
              <w:top w:type="dxa" w:w="70"/>
              <w:left w:type="dxa" w:w="110"/>
              <w:bottom w:type="dxa" w:w="70"/>
              <w:right w:type="dxa" w:w="110"/>
            </w:tcMar>
          </w:tcPr>
          <w:p>
            <w:pPr>
              <w:spacing w:after="0"/>
            </w:pPr>
            <w:r>
              <w:rPr>
                <w:color w:val="1E293B"/>
                <w:sz w:val="18"/>
                <w:szCs w:val="18"/>
              </w:rPr>
              <w:t xml:space="preserve">Slaap (4 docs) + stress (4 docs) schrijven · startset als-dan regels beoordelen en invoeren · adviessjabloon één keer doornemen</w:t>
            </w:r>
          </w:p>
        </w:tc>
      </w:tr>
      <w:tr>
        <w:tc>
          <w:tcPr>
            <w:tcW w:type="dxa" w:w="2200"/>
            <w:tcMar>
              <w:top w:type="dxa" w:w="70"/>
              <w:left w:type="dxa" w:w="110"/>
              <w:bottom w:type="dxa" w:w="70"/>
              <w:right w:type="dxa" w:w="110"/>
            </w:tcMar>
          </w:tcPr>
          <w:p>
            <w:pPr>
              <w:spacing w:after="0"/>
            </w:pPr>
            <w:r>
              <w:rPr>
                <w:color w:val="1E293B"/>
                <w:sz w:val="18"/>
                <w:szCs w:val="18"/>
              </w:rPr>
              <w:t xml:space="preserve">Week 2</w:t>
            </w:r>
          </w:p>
        </w:tc>
        <w:tc>
          <w:tcPr>
            <w:tcW w:type="dxa" w:w="7100"/>
            <w:tcMar>
              <w:top w:type="dxa" w:w="70"/>
              <w:left w:type="dxa" w:w="110"/>
              <w:bottom w:type="dxa" w:w="70"/>
              <w:right w:type="dxa" w:w="110"/>
            </w:tcMar>
          </w:tcPr>
          <w:p>
            <w:pPr>
              <w:spacing w:after="0"/>
            </w:pPr>
            <w:r>
              <w:rPr>
                <w:color w:val="1E293B"/>
                <w:sz w:val="18"/>
                <w:szCs w:val="18"/>
              </w:rPr>
              <w:t xml:space="preserve">Zelfzorg/gedrag (3) + vetzuurkwaliteit (3) · eerste AI-eval-meetmoment (doen wij samen)</w:t>
            </w:r>
          </w:p>
        </w:tc>
      </w:tr>
      <w:tr>
        <w:tc>
          <w:tcPr>
            <w:tcW w:type="dxa" w:w="2200"/>
            <w:tcMar>
              <w:top w:type="dxa" w:w="70"/>
              <w:left w:type="dxa" w:w="110"/>
              <w:bottom w:type="dxa" w:w="70"/>
              <w:right w:type="dxa" w:w="110"/>
            </w:tcMar>
          </w:tcPr>
          <w:p>
            <w:pPr>
              <w:spacing w:after="0"/>
            </w:pPr>
            <w:r>
              <w:rPr>
                <w:color w:val="1E293B"/>
                <w:sz w:val="18"/>
                <w:szCs w:val="18"/>
              </w:rPr>
              <w:t xml:space="preserve">Week 3</w:t>
            </w:r>
          </w:p>
        </w:tc>
        <w:tc>
          <w:tcPr>
            <w:tcW w:type="dxa" w:w="7100"/>
            <w:tcMar>
              <w:top w:type="dxa" w:w="70"/>
              <w:left w:type="dxa" w:w="110"/>
              <w:bottom w:type="dxa" w:w="70"/>
              <w:right w:type="dxa" w:w="110"/>
            </w:tcMar>
          </w:tcPr>
          <w:p>
            <w:pPr>
              <w:spacing w:after="0"/>
            </w:pPr>
            <w:r>
              <w:rPr>
                <w:color w:val="1E293B"/>
                <w:sz w:val="18"/>
                <w:szCs w:val="18"/>
              </w:rPr>
              <w:t xml:space="preserve">Cardiometabole voeding (4) + beweging (3)</w:t>
            </w:r>
          </w:p>
        </w:tc>
      </w:tr>
      <w:tr>
        <w:tc>
          <w:tcPr>
            <w:tcW w:type="dxa" w:w="2200"/>
            <w:tcMar>
              <w:top w:type="dxa" w:w="70"/>
              <w:left w:type="dxa" w:w="110"/>
              <w:bottom w:type="dxa" w:w="70"/>
              <w:right w:type="dxa" w:w="110"/>
            </w:tcMar>
          </w:tcPr>
          <w:p>
            <w:pPr>
              <w:spacing w:after="0"/>
            </w:pPr>
            <w:r>
              <w:rPr>
                <w:color w:val="1E293B"/>
                <w:sz w:val="18"/>
                <w:szCs w:val="18"/>
              </w:rPr>
              <w:t xml:space="preserve">Week 4</w:t>
            </w:r>
          </w:p>
        </w:tc>
        <w:tc>
          <w:tcPr>
            <w:tcW w:type="dxa" w:w="7100"/>
            <w:tcMar>
              <w:top w:type="dxa" w:w="70"/>
              <w:left w:type="dxa" w:w="110"/>
              <w:bottom w:type="dxa" w:w="70"/>
              <w:right w:type="dxa" w:w="110"/>
            </w:tcMar>
          </w:tcPr>
          <w:p>
            <w:pPr>
              <w:spacing w:after="0"/>
            </w:pPr>
            <w:r>
              <w:rPr>
                <w:color w:val="1E293B"/>
                <w:sz w:val="18"/>
                <w:szCs w:val="18"/>
              </w:rPr>
              <w:t xml:space="preserve">Middelen (2), sociaal (1), meten &amp; duiden (3) · tweede meetmoment · vanaf hier: alleen nog goedkeuren + gaten bijvullen</w:t>
            </w:r>
          </w:p>
        </w:tc>
      </w:tr>
    </w:tbl>
    <w:p>
      <w:pPr>
        <w:spacing w:after="60"/>
      </w:pPr>
    </w:p>
    <w:p>
      <w:pPr>
        <w:spacing w:after="120"/>
      </w:pPr>
      <w:r>
        <w:rPr>
          <w:color w:val="1E293B"/>
        </w:rPr>
        <w:t xml:space="preserve">Vragen of twijfel over vorm of inhoud: één voorbeeddocument opsturen en we kalibreren samen — dat voorkomt herschrijfwerk over de hele set.</w:t>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1683"/>
      <w:sz w:val="28"/>
      <w:szCs w:val="28"/>
    </w:rPr>
  </w:style>
  <w:style w:type="paragraph" w:styleId="Heading2">
    <w:name w:val="Heading 2"/>
    <w:basedOn w:val="Normal"/>
    <w:next w:val="Normal"/>
    <w:qFormat/>
    <w:rPr>
      <w:rFonts w:ascii="Calibri" w:cs="Calibri" w:eastAsia="Calibri" w:hAnsi="Calibri"/>
      <w:b/>
      <w:bCs/>
      <w:color w:val="1E293B"/>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Werkpakket leefstijlarts — AI-advies trainen v1.0</dc:title>
  <dc:creator>Vita Health</dc:creator>
  <cp:lastModifiedBy>Un-named</cp:lastModifiedBy>
  <cp:revision>1</cp:revision>
  <dcterms:created xsi:type="dcterms:W3CDTF">2026-09-02T12:38:04.740Z</dcterms:created>
  <dcterms:modified xsi:type="dcterms:W3CDTF">2026-09-02T12:38:04.745Z</dcterms:modified>
</cp:coreProperties>
</file>

<file path=docProps/custom.xml><?xml version="1.0" encoding="utf-8"?>
<Properties xmlns="http://schemas.openxmlformats.org/officeDocument/2006/custom-properties" xmlns:vt="http://schemas.openxmlformats.org/officeDocument/2006/docPropsVTypes"/>
</file>