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1683" w:val="clear"/>
            <w:tcMar>
              <w:top w:type="dxa" w:w="420"/>
              <w:left w:type="dxa" w:w="520"/>
              <w:bottom w:type="dxa" w:w="420"/>
              <w:right w:type="dxa" w:w="52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FBBF24"/>
                <w:sz w:val="16"/>
                <w:szCs w:val="16"/>
              </w:rPr>
              <w:t xml:space="preserve">CONCEPT — INTERN DOCUMENT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FFFFFF"/>
                <w:sz w:val="38"/>
                <w:szCs w:val="38"/>
              </w:rPr>
              <w:t xml:space="preserve">Toegangsbeheerprocedure (JML)</w:t>
            </w:r>
          </w:p>
          <w:p>
            <w:pPr>
              <w:spacing w:after="150"/>
            </w:pPr>
            <w:r>
              <w:rPr>
                <w:rFonts w:ascii="Arial" w:cs="Arial" w:eastAsia="Arial" w:hAnsi="Arial"/>
                <w:color w:val="A5F3FC"/>
                <w:sz w:val="22"/>
                <w:szCs w:val="22"/>
              </w:rPr>
              <w:t xml:space="preserve">Vita Health Platform</w:t>
            </w:r>
          </w:p>
          <w:p>
            <w:r>
              <w:rPr>
                <w:rFonts w:ascii="Arial" w:cs="Arial" w:eastAsia="Arial" w:hAnsi="Arial"/>
                <w:color w:val="BAE6FD"/>
                <w:sz w:val="19"/>
                <w:szCs w:val="19"/>
              </w:rPr>
              <w:t xml:space="preserve">Documentversie 1.0 (concept) — 9 juni 2026</w:t>
            </w:r>
          </w:p>
        </w:tc>
      </w:tr>
    </w:tbl>
    <w:p>
      <w:pPr>
        <w:spacing w:after="90" w:before="200"/>
      </w:pP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06"/>
      </w:tblGrid>
      <w:tr>
        <w:tc>
          <w:tcPr>
            <w:tcW w:type="dxa" w:w="9306"/>
            <w:tcBorders>
              <w:top w:val="single" w:color="CA8A04" w:sz="1"/>
              <w:left w:val="single" w:color="CA8A04" w:sz="6"/>
              <w:bottom w:val="single" w:color="CA8A04" w:sz="1"/>
              <w:right w:val="single" w:color="CA8A04" w:sz="1"/>
            </w:tcBorders>
            <w:shd w:fill="FEF9C3" w:val="clear"/>
            <w:tcMar>
              <w:top w:type="dxa" w:w="110"/>
              <w:left w:type="dxa" w:w="17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19"/>
                <w:szCs w:val="19"/>
              </w:rPr>
              <w:t xml:space="preserve">CONCEPT — nog in te vullen op de geel gemarkeerde plekken en te toetsen. Geen juridisch advies.</w:t>
            </w:r>
          </w:p>
        </w:tc>
      </w:tr>
    </w:tbl>
    <w:p>
      <w:pPr>
        <w:spacing w:after="60" w:before="100"/>
      </w:pP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Procedure voor toegangsrechten bij indiensttreding (Joiner), functiewijziging (Mover) en uitdiensttreding (Leaver).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Joiner — nieuwe medewerker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nodigt uit via Medewerkers-pagina met de juiste rol.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Medewerker stelt wachtwoord + 2FA in.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Toegang wordt vastgelegd (automatisch in auditlog).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Mover — functiewijziging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Admin past de rol aan; controleer of oude rechten vervallen.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Leaver — uitdiensttreding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Account direct deactiveren/verwijderen.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Sessies beëindigen (zie noodplan voor SQL indien nodig).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Controleer of er nog gedeelde toegang/credentials zijn.</w:t>
      </w:r>
    </w:p>
    <w:p>
      <w:pPr>
        <w:spacing w:after="70" w:before="200"/>
      </w:pPr>
      <w:r>
        <w:rPr>
          <w:rFonts w:ascii="Arial" w:cs="Arial" w:eastAsia="Arial" w:hAnsi="Arial"/>
          <w:b/>
          <w:bCs/>
          <w:color w:val="1E293B"/>
          <w:sz w:val="21"/>
          <w:szCs w:val="21"/>
        </w:rPr>
        <w:t xml:space="preserve">Periodieke review</w:t>
      </w:r>
    </w:p>
    <w:p>
      <w:pPr>
        <w:spacing w:after="60" w:before="60"/>
      </w:pPr>
      <w:r>
        <w:rPr>
          <w:rFonts w:ascii="Arial" w:cs="Arial" w:eastAsia="Arial" w:hAnsi="Arial"/>
          <w:color w:val="1E293B"/>
          <w:sz w:val="20"/>
          <w:szCs w:val="20"/>
        </w:rPr>
        <w:t xml:space="preserve">Elk kwartaal: controleer wie welke rol heeft (auditlog + Medewerkers-overzicht).</w:t>
      </w:r>
    </w:p>
    <w:p>
      <w:pPr>
        <w:spacing w:after="30" w:before="30"/>
      </w:pPr>
      <w:r>
        <w:rPr>
          <w:rFonts w:ascii="Arial" w:cs="Arial" w:eastAsia="Arial" w:hAnsi="Arial"/>
          <w:i/>
          <w:iCs/>
          <w:color w:val="B45309"/>
          <w:sz w:val="19"/>
          <w:szCs w:val="19"/>
        </w:rPr>
        <w:t xml:space="preserve">[Leg verantwoordelijke en frequentie vast]</w:t>
      </w:r>
    </w:p>
    <w:sectPr>
      <w:headerReference w:type="default" r:id="rId7"/>
      <w:footerReference w:type="default" r:id="rId8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Concept — geen juridisch advies  |  Pagina </w:t>
    </w:r>
    <w:r>
      <w:rPr>
        <w:rFonts w:ascii="Arial" w:cs="Arial" w:eastAsia="Arial" w:hAnsi="Arial"/>
        <w:color w:val="64748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8F0" w:sz="1"/>
      </w:pBdr>
    </w:pPr>
    <w:r>
      <w:rPr>
        <w:rFonts w:ascii="Arial" w:cs="Arial" w:eastAsia="Arial" w:hAnsi="Arial"/>
        <w:color w:val="64748B"/>
        <w:sz w:val="16"/>
        <w:szCs w:val="16"/>
      </w:rPr>
      <w:t xml:space="preserve">Vita Health Platform  |  Toegangsbeheerprocedure (JML)</w:t>
    </w:r>
    <w:r>
      <w:rPr>
        <w:rFonts w:ascii="Arial" w:cs="Arial" w:eastAsia="Arial" w:hAnsi="Arial"/>
        <w:b/>
        <w:bCs/>
        <w:color w:val="CA8A04"/>
        <w:sz w:val="16"/>
        <w:szCs w:val="16"/>
      </w:rPr>
      <w:t xml:space="preserve">  — 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2026-06-09T12:36:04.409Z</dcterms:created>
  <dcterms:modified xsi:type="dcterms:W3CDTF">2026-06-09T12:36:04.409Z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