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Datalekregister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van alle datalekken (ook niet-meldplichtige). Vul per incident een regel in.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000"/>
        <w:gridCol w:w="2100"/>
        <w:gridCol w:w="2106"/>
      </w:tblGrid>
      <w:tr>
        <w:trPr>
          <w:tblHeader/>
        </w:trP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Omschrijving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Betrokkenen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Meldplichtig? (AP)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Maatregelen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[Per incident invullen: datum, aard, aantal/categorieën betrokkenen, of het gemeld is bij AP/betrokkenen, en genomen maatregelen]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Datalekregister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2026-06-09T12:36:04.697Z</dcterms:created>
  <dcterms:modified xsi:type="dcterms:W3CDTF">2026-06-09T12:36:04.697Z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