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b/>
          <w:bCs/>
          <w:color w:val="1F1683"/>
          <w:spacing w:val="60"/>
          <w:sz w:val="24"/>
          <w:szCs w:val="24"/>
        </w:rPr>
        <w:t xml:space="preserve">VITA HEALTH — INTERN DOCUMENT</w:t>
      </w:r>
    </w:p>
    <w:p>
      <w:pPr>
        <w:pBdr>
          <w:bottom w:val="single" w:color="04B788" w:sz="18"/>
        </w:pBdr>
        <w:spacing w:after="0" w:before="40"/>
      </w:pPr>
    </w:p>
    <w:p>
      <w:pPr>
        <w:spacing w:after="0" w:before="260"/>
      </w:pPr>
      <w:r>
        <w:rPr>
          <w:b/>
          <w:bCs/>
          <w:color w:val="1E293B"/>
          <w:sz w:val="52"/>
          <w:szCs w:val="52"/>
        </w:rPr>
        <w:t xml:space="preserve">AVG-briefing</w:t>
      </w:r>
    </w:p>
    <w:p>
      <w:pPr>
        <w:spacing w:after="0" w:before="120"/>
      </w:pPr>
      <w:r>
        <w:rPr>
          <w:color w:val="64748B"/>
          <w:sz w:val="28"/>
          <w:szCs w:val="28"/>
        </w:rPr>
        <w:t xml:space="preserve">Gesprek met de AVG-functionaris — platform, gegevens, maatregelen, dossier en resterende route</w:t>
      </w:r>
    </w:p>
    <w:p>
      <w:pPr>
        <w:spacing w:after="0" w:before="900"/>
      </w:pPr>
      <w:r>
        <w:rPr>
          <w:b/>
          <w:bCs/>
          <w:color w:val="1E293B"/>
          <w:sz w:val="24"/>
          <w:szCs w:val="24"/>
        </w:rPr>
        <w:t xml:space="preserve">Documentversie 1.1 — 19 augustus 2026 (v1.0 + bijlagen-overzicht)</w:t>
      </w:r>
    </w:p>
    <w:p>
      <w:pPr>
        <w:spacing w:after="0" w:before="40"/>
      </w:pPr>
      <w:r>
        <w:rPr>
          <w:color w:val="64748B"/>
          <w:sz w:val="22"/>
          <w:szCs w:val="22"/>
        </w:rPr>
        <w:t xml:space="preserve">Vitahealth BV — KvK 42133916 — Oudhuizerstraat 31, 7382 BS Klarenbeek — info@vita-health.nl</w:t>
      </w:r>
    </w:p>
    <w:p>
      <w:pPr>
        <w:spacing w:after="0" w:before="40"/>
      </w:pPr>
      <w:r>
        <w:rPr>
          <w:color w:val="64748B"/>
          <w:sz w:val="22"/>
          <w:szCs w:val="22"/>
        </w:rPr>
        <w:t xml:space="preserve">Markdown-versie: docs/avg-compliance/avg-briefing-functionaris-v1.0.md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1. Overzicht van het platform — wat doet het?</w:t>
      </w:r>
    </w:p>
    <w:p>
      <w:pPr>
        <w:spacing w:after="120"/>
      </w:pPr>
      <w:r>
        <w:rPr>
          <w:color w:val="1E293B"/>
        </w:rPr>
        <w:t xml:space="preserve">Vita Health levert een </w:t>
      </w:r>
      <w:r>
        <w:rPr>
          <w:b/>
          <w:bCs/>
          <w:color w:val="1E293B"/>
        </w:rPr>
        <w:t xml:space="preserve">biomarkertest</w:t>
      </w:r>
      <w:r>
        <w:rPr>
          <w:color w:val="1E293B"/>
        </w:rPr>
        <w:t xml:space="preserve">: een vingerprik-bloedtest (dried blood spot) die door het laboratorium van </w:t>
      </w:r>
      <w:r>
        <w:rPr>
          <w:b/>
          <w:bCs/>
          <w:color w:val="1E293B"/>
        </w:rPr>
        <w:t xml:space="preserve">Nightingale Health</w:t>
      </w:r>
      <w:r>
        <w:rPr>
          <w:color w:val="1E293B"/>
        </w:rPr>
        <w:t xml:space="preserve"> (Helsinki, Finland, EER) wordt geanalyseerd. Deelnemers krijgen een medisch beoordeelde terugkoppeling over hun metabole gezondheid. De test stelt geen diagnose en vervangt geen reguliere zorg.</w:t>
      </w:r>
    </w:p>
    <w:p>
      <w:pPr>
        <w:spacing w:after="120"/>
      </w:pPr>
      <w:r>
        <w:rPr>
          <w:color w:val="1E293B"/>
        </w:rPr>
        <w:t xml:space="preserve">Het digitale platform (maatwerk-webapplicatie) ondersteunt de hele keten:</w:t>
      </w:r>
    </w:p>
    <w:p>
      <w:pPr>
        <w:spacing w:after="60"/>
        <w:ind w:left="360" w:hanging="360"/>
      </w:pPr>
      <w:r>
        <w:rPr>
          <w:b/>
          <w:bCs/>
          <w:color w:val="1F1683"/>
        </w:rPr>
        <w:t xml:space="preserve">1. </w:t>
      </w:r>
      <w:r>
        <w:rPr>
          <w:b/>
          <w:bCs/>
          <w:color w:val="1E293B"/>
        </w:rPr>
        <w:t xml:space="preserve">Bestelling &amp; betaling</w:t>
      </w:r>
      <w:r>
        <w:rPr>
          <w:color w:val="1E293B"/>
        </w:rPr>
        <w:t xml:space="preserve"> — de klant bestelt de test online; de betaling verloopt rechtstreeks via betaaldienst </w:t>
      </w:r>
      <w:r>
        <w:rPr>
          <w:b/>
          <w:bCs/>
          <w:color w:val="1E293B"/>
        </w:rPr>
        <w:t xml:space="preserve">Mollie</w:t>
      </w:r>
      <w:r>
        <w:rPr>
          <w:color w:val="1E293B"/>
        </w:rPr>
        <w:t xml:space="preserve"> (wij zien geen rekening- of kaartgegevens). Het platform maakt de factuur (naam/adres, 7 jaar fiscale bewaarplicht). Resellers kunnen via kortingscodes/deelbare links verwijzen.</w:t>
      </w:r>
    </w:p>
    <w:p>
      <w:pPr>
        <w:spacing w:after="60"/>
        <w:ind w:left="360" w:hanging="360"/>
      </w:pPr>
      <w:r>
        <w:rPr>
          <w:b/>
          <w:bCs/>
          <w:color w:val="1F1683"/>
        </w:rPr>
        <w:t xml:space="preserve">2. </w:t>
      </w:r>
      <w:r>
        <w:rPr>
          <w:b/>
          <w:bCs/>
          <w:color w:val="1E293B"/>
        </w:rPr>
        <w:t xml:space="preserve">Intake</w:t>
      </w:r>
      <w:r>
        <w:rPr>
          <w:color w:val="1E293B"/>
        </w:rPr>
        <w:t xml:space="preserve"> — digitale gezondheids- en geschiktheidsvragenlijst plus toestemmingsregistratie (inhoud, tijdstip, versie van het formulier).</w:t>
      </w:r>
    </w:p>
    <w:p>
      <w:pPr>
        <w:spacing w:after="60"/>
        <w:ind w:left="360" w:hanging="360"/>
      </w:pPr>
      <w:r>
        <w:rPr>
          <w:b/>
          <w:bCs/>
          <w:color w:val="1F1683"/>
        </w:rPr>
        <w:t xml:space="preserve">3. </w:t>
      </w:r>
      <w:r>
        <w:rPr>
          <w:b/>
          <w:bCs/>
          <w:color w:val="1E293B"/>
        </w:rPr>
        <w:t xml:space="preserve">Testkit-logistiek</w:t>
      </w:r>
      <w:r>
        <w:rPr>
          <w:color w:val="1E293B"/>
        </w:rPr>
        <w:t xml:space="preserve"> — uitgifte, verzending (PostNL, alleen naam + adres op het label) en retourregistratie; statusflow per kit: </w:t>
      </w:r>
      <w:r>
        <w:rPr>
          <w:rFonts w:ascii="Consolas" w:cs="Consolas" w:eastAsia="Consolas" w:hAnsi="Consolas"/>
          <w:color w:val="1F1683"/>
          <w:sz w:val="18"/>
          <w:szCs w:val="18"/>
        </w:rPr>
        <w:t xml:space="preserve">received → assigned → retour → sent_nightingale → results_available</w:t>
      </w:r>
      <w:r>
        <w:rPr>
          <w:color w:val="1E293B"/>
        </w:rPr>
        <w:t xml:space="preserve">.</w:t>
      </w:r>
    </w:p>
    <w:p>
      <w:pPr>
        <w:spacing w:after="60"/>
        <w:ind w:left="360" w:hanging="360"/>
      </w:pPr>
      <w:r>
        <w:rPr>
          <w:b/>
          <w:bCs/>
          <w:color w:val="1F1683"/>
        </w:rPr>
        <w:t xml:space="preserve">4. </w:t>
      </w:r>
      <w:r>
        <w:rPr>
          <w:b/>
          <w:bCs/>
          <w:color w:val="1E293B"/>
        </w:rPr>
        <w:t xml:space="preserve">Laboratoriumanalyse</w:t>
      </w:r>
      <w:r>
        <w:rPr>
          <w:color w:val="1E293B"/>
        </w:rPr>
        <w:t xml:space="preserve"> — pseudonieme batchexport naar Nightingale: samplecode, pseudoniem Subject-ID, geboortedatum, geslacht — </w:t>
      </w:r>
      <w:r>
        <w:rPr>
          <w:b/>
          <w:bCs/>
          <w:color w:val="1E293B"/>
        </w:rPr>
        <w:t xml:space="preserve">geen naam of contactgegevens</w:t>
      </w:r>
      <w:r>
        <w:rPr>
          <w:color w:val="1E293B"/>
        </w:rPr>
        <w:t xml:space="preserve">.</w:t>
      </w:r>
    </w:p>
    <w:p>
      <w:pPr>
        <w:spacing w:after="60"/>
        <w:ind w:left="360" w:hanging="360"/>
      </w:pPr>
      <w:r>
        <w:rPr>
          <w:b/>
          <w:bCs/>
          <w:color w:val="1F1683"/>
        </w:rPr>
        <w:t xml:space="preserve">5. </w:t>
      </w:r>
      <w:r>
        <w:rPr>
          <w:b/>
          <w:bCs/>
          <w:color w:val="1E293B"/>
        </w:rPr>
        <w:t xml:space="preserve">Uitslag &amp; advies</w:t>
      </w:r>
      <w:r>
        <w:rPr>
          <w:color w:val="1E293B"/>
        </w:rPr>
        <w:t xml:space="preserve"> — resultaten komen beveiligd terug; een AI-hulpmiddel genereert op basis van pseudonieme gegevens een </w:t>
      </w:r>
      <w:r>
        <w:rPr>
          <w:b/>
          <w:bCs/>
          <w:color w:val="1E293B"/>
        </w:rPr>
        <w:t xml:space="preserve">conceptadvies</w:t>
      </w:r>
      <w:r>
        <w:rPr>
          <w:color w:val="1E293B"/>
        </w:rPr>
        <w:t xml:space="preserve"> uit een gecureerde kennisbank; een arts/leefstijlarts beoordeelt en stelt vast (human-in-the-loop, art. 22-borging). De deelnemer ontvangt de uitslag via </w:t>
      </w:r>
      <w:r>
        <w:rPr>
          <w:b/>
          <w:bCs/>
          <w:color w:val="1E293B"/>
        </w:rPr>
        <w:t xml:space="preserve">Zivver</w:t>
      </w:r>
      <w:r>
        <w:rPr>
          <w:color w:val="1E293B"/>
        </w:rPr>
        <w:t xml:space="preserve"> (beveiligde e-mail, NTA 7516).</w:t>
      </w:r>
    </w:p>
    <w:p>
      <w:pPr>
        <w:spacing w:after="60"/>
        <w:ind w:left="360" w:hanging="360"/>
      </w:pPr>
      <w:r>
        <w:rPr>
          <w:b/>
          <w:bCs/>
          <w:color w:val="1F1683"/>
        </w:rPr>
        <w:t xml:space="preserve">6. </w:t>
      </w:r>
      <w:r>
        <w:rPr>
          <w:b/>
          <w:bCs/>
          <w:color w:val="1E293B"/>
        </w:rPr>
        <w:t xml:space="preserve">Ondersteunend</w:t>
      </w:r>
      <w:r>
        <w:rPr>
          <w:color w:val="1E293B"/>
        </w:rPr>
        <w:t xml:space="preserve"> — medewerkersportaal met rollen (admin, arts/leefstijlarts, medewerker), cliëntdossier met notities, helpdesk, auditlog, anonimiseringsfunctie.</w:t>
      </w:r>
    </w:p>
    <w:p>
      <w:pPr>
        <w:spacing w:after="120"/>
      </w:pPr>
      <w:r>
        <w:rPr>
          <w:b/>
          <w:bCs/>
          <w:color w:val="1E293B"/>
        </w:rPr>
        <w:t xml:space="preserve">Domeinen:</w:t>
      </w:r>
      <w:r>
        <w:rPr>
          <w:color w:val="1E293B"/>
        </w:rPr>
        <w:t xml:space="preserve"> </w:t>
      </w:r>
      <w:r>
        <w:rPr>
          <w:rFonts w:ascii="Consolas" w:cs="Consolas" w:eastAsia="Consolas" w:hAnsi="Consolas"/>
          <w:color w:val="1F1683"/>
          <w:sz w:val="18"/>
          <w:szCs w:val="18"/>
        </w:rPr>
        <w:t xml:space="preserve">platform.vita-health.nl</w:t>
      </w:r>
      <w:r>
        <w:rPr>
          <w:color w:val="1E293B"/>
        </w:rPr>
        <w:t xml:space="preserve"> (medewerkersportaal, achter login met 2FA), </w:t>
      </w:r>
      <w:r>
        <w:rPr>
          <w:rFonts w:ascii="Consolas" w:cs="Consolas" w:eastAsia="Consolas" w:hAnsi="Consolas"/>
          <w:color w:val="1F1683"/>
          <w:sz w:val="18"/>
          <w:szCs w:val="18"/>
        </w:rPr>
        <w:t xml:space="preserve">vita-health.nl</w:t>
      </w:r>
      <w:r>
        <w:rPr>
          <w:color w:val="1E293B"/>
        </w:rPr>
        <w:t xml:space="preserve"> (website + klantflow), helpdeskportaal.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2. Visuele structuur — waar staan de gegevens?</w:t>
      </w:r>
    </w:p>
    <w:p>
      <w:pPr>
        <w:spacing w:after="120"/>
      </w:pPr>
      <w:r>
        <w:rPr>
          <w:color w:val="1E293B"/>
        </w:rPr>
        <w:t xml:space="preserve">Kernprincipe: </w:t>
      </w:r>
      <w:r>
        <w:rPr>
          <w:b/>
          <w:bCs/>
          <w:color w:val="1E293B"/>
        </w:rPr>
        <w:t xml:space="preserve">identiteit en medische data zijn gescheiden</w:t>
      </w:r>
      <w:r>
        <w:rPr>
          <w:color w:val="1E293B"/>
        </w:rPr>
        <w:t xml:space="preserve">. Identiteitsgegevens staan uitsluitend versleuteld in de PII-kluis; alle medische en logistieke data hangen aan een pseudoniem ID. Externe partijen krijgen elk alléén het minimale deel dat zij nodig hebben.</w:t>
      </w:r>
    </w:p>
    <w:tbl>
      <w:tblPr>
        <w:tblW w:type="dxa" w:w="93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500"/>
        <w:gridCol w:w="6800"/>
      </w:tblGrid>
      <w:tr>
        <w:trPr>
          <w:tblHeader/>
        </w:trPr>
        <w:tc>
          <w:tcPr>
            <w:tcW w:type="dxa" w:w="2500"/>
            <w:shd w:fill="1F168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Laag</w:t>
            </w:r>
          </w:p>
        </w:tc>
        <w:tc>
          <w:tcPr>
            <w:tcW w:type="dxa" w:w="6800"/>
            <w:shd w:fill="1F168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Inhoud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Deelnemer / klant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Bestelt en betaalt (rechtstreeks bij Mollie); vult intake in; ontvangt kit en uitslag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Website + klantflow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vita-health.nl — bestelling, vragenlijst, toestemming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App-server (TransIP, NL)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De webapplicatie; deploy via een gescheiden control-plane-VPS (beheerpaneel achter IP-allowlist)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Database &amp; auth (Supabase, EU)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PII-KLUIS: naam, adres, e-mail, telefoon — per veld versleuteld (AES-256-GCM). PSEUDONIEME KERN: vragenlijst, biomarkers, beoordeling, kitstatus, orders (kopervelden versleuteld) — gekoppeld via pseudoniem ID</w:t>
            </w:r>
          </w:p>
        </w:tc>
      </w:tr>
    </w:tbl>
    <w:p>
      <w:pPr>
        <w:spacing w:after="60"/>
      </w:pPr>
    </w:p>
    <w:p>
      <w:pPr>
        <w:pStyle w:val="Heading2"/>
        <w:spacing w:after="80" w:before="180"/>
      </w:pPr>
      <w:r>
        <w:rPr>
          <w:b/>
          <w:bCs/>
          <w:color w:val="1E293B"/>
        </w:rPr>
        <w:t xml:space="preserve">Uitgaande gegevensstromen</w:t>
      </w:r>
    </w:p>
    <w:tbl>
      <w:tblPr>
        <w:tblW w:type="dxa" w:w="93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300"/>
        <w:gridCol w:w="4300"/>
        <w:gridCol w:w="2700"/>
      </w:tblGrid>
      <w:tr>
        <w:trPr>
          <w:tblHeader/>
        </w:trPr>
        <w:tc>
          <w:tcPr>
            <w:tcW w:type="dxa" w:w="2300"/>
            <w:shd w:fill="1F168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Partij</w:t>
            </w:r>
          </w:p>
        </w:tc>
        <w:tc>
          <w:tcPr>
            <w:tcW w:type="dxa" w:w="4300"/>
            <w:shd w:fill="1F168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gaat erheen</w:t>
            </w:r>
          </w:p>
        </w:tc>
        <w:tc>
          <w:tcPr>
            <w:tcW w:type="dxa" w:w="2700"/>
            <w:shd w:fill="1F168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Nightingale (lab, FI/EER)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samplecode + pseudoniem Subject-ID + geboortedatum + geslacht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VO — in afronding (contractgesprek)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Zivver (NL, NTA 7516)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uitslagrapport, beveiligd naar de deelnemer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VO geregeld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Resend (VS)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transactionele e-mail + factuur-PDF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VO + SCC’s geregeld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Nebius (EU)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pseudoniem casusdocument voor conceptadvies (geen naam)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VO geregeld; Zero Data Retention aan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Better Stack (VS/EU)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pseudonieme auditlog-kopie (geen medische inhoud)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VO + SCC’s geregeld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PostNL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naam + adres op verzendlabel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zelfstandig verantwoordelijke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Mollie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betaalverzoek; klant rekent rechtstreeks af (geen naam/e-mail van ons)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zelfstandig verantwoordelijke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1F1683"/>
        </w:rPr>
        <w:t xml:space="preserve">3. Typen informatie die worden verzameld</w:t>
      </w:r>
    </w:p>
    <w:tbl>
      <w:tblPr>
        <w:tblW w:type="dxa" w:w="93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600"/>
        <w:gridCol w:w="4200"/>
        <w:gridCol w:w="2500"/>
      </w:tblGrid>
      <w:tr>
        <w:trPr>
          <w:tblHeader/>
        </w:trPr>
        <w:tc>
          <w:tcPr>
            <w:tcW w:type="dxa" w:w="2600"/>
            <w:shd w:fill="1F168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Categorie</w:t>
            </w:r>
          </w:p>
        </w:tc>
        <w:tc>
          <w:tcPr>
            <w:tcW w:type="dxa" w:w="4200"/>
            <w:shd w:fill="1F168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Voorbeelden</w:t>
            </w:r>
          </w:p>
        </w:tc>
        <w:tc>
          <w:tcPr>
            <w:tcW w:type="dxa" w:w="2500"/>
            <w:shd w:fill="1F168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Bijzonderheden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Identiteitsgegevens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naam, adres, e-mail, telefoon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versleuteld in PII-kluis (AES-256-GCM per veld)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Gezondheidsgegevens (art. 9)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vragenlijst, contra-indicaties, biomarkerwaarden, risicoprofielen, medische beoordeling, advies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pseudoniem; grondslag: uitdrukkelijke toestemming (9.2a), evt. 9.2h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Bestel- &amp; betaalgegevens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order, factuur (naam/adres), betaalstatus, kortingscode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geen rekening-/kaartgegevens; factuur 7 jr fiscaal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Logistieke gegevens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kitnummer, batch/lot, vervaldatum, verzend-/retourstatus, samplekwaliteit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Toestemmingsregistratie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inhoud, tijdstip, versie formulier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5 jaar (verantwoording)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Technische gegevens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auditlog (acties, gehashte IP’s, tijdstip), sessies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pseudonieme externe kopie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Medewerkergegevens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naam, e-mail, rol, 2FA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rolgebaseerde toegang (RLS)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1F1683"/>
        </w:rPr>
        <w:t xml:space="preserve">4. Maatregelen die al zijn genomen</w:t>
      </w:r>
    </w:p>
    <w:p>
      <w:pPr>
        <w:pStyle w:val="Heading2"/>
        <w:spacing w:after="80" w:before="180"/>
      </w:pPr>
      <w:r>
        <w:rPr>
          <w:b/>
          <w:bCs/>
          <w:color w:val="1E293B"/>
        </w:rPr>
        <w:t xml:space="preserve">Techniek — gegevensbescherming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PII-kluis: veldniveau-versleuteling (AES-256-GCM) van alle identiteitsgegevens, met sleutelversiebeheer en een rotatiemechanisme; sleutels uitsluitend in de server-omgeving + wachtwoordmanager (nooit in code of database).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Ook koper-gegevens van bestellingen zijn versleuteld; e-mail-lookup via HMAC-hash.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Pseudonimisering richting álle externe partijen (lab, AI, logging).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Anonimiseringsfunctie voor afgeronde dossiers (wist kluis + kopervelden, met audittrail); facturen blijven conform fiscale plicht.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AI-verwerking: EU-endpoints, </w:t>
      </w:r>
      <w:r>
        <w:rPr>
          <w:b/>
          <w:bCs/>
          <w:color w:val="1E293B"/>
        </w:rPr>
        <w:t xml:space="preserve">Zero Data Retention</w:t>
      </w:r>
      <w:r>
        <w:rPr>
          <w:color w:val="1E293B"/>
        </w:rPr>
        <w:t xml:space="preserve"> actief, geen training op klantdata, arts beoordeelt altijd.</w:t>
      </w:r>
    </w:p>
    <w:p>
      <w:pPr>
        <w:pStyle w:val="Heading2"/>
        <w:spacing w:after="80" w:before="180"/>
      </w:pPr>
      <w:r>
        <w:rPr>
          <w:b/>
          <w:bCs/>
          <w:color w:val="1E293B"/>
        </w:rPr>
        <w:t xml:space="preserve">Techniek — platform &amp; infrastructuur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2FA voor medewerkers én beheerpaneel; rolgebaseerde toegang met Row Level Security; schrijfacties server-side.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Auditlog van relevante handelingen + externe pseudonieme kopie.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Server-hardening beide VPS’en afgerond (18-08-2026): firewall-allowlists (SSH en beheerpaneel alleen vanaf vertrouwde IP’s), key-only SSH, fail2ban, automatische beveiligingsupdates; TLS overal; database encrypted at rest (Supabase, EU).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Uitslagen uitsluitend via NTA 7516-gecertificeerde beveiligde mail (Zivver).</w:t>
      </w:r>
    </w:p>
    <w:p>
      <w:pPr>
        <w:pStyle w:val="Heading2"/>
        <w:spacing w:after="80" w:before="180"/>
      </w:pPr>
      <w:r>
        <w:rPr>
          <w:b/>
          <w:bCs/>
          <w:color w:val="1E293B"/>
        </w:rPr>
        <w:t xml:space="preserve">Organisatie &amp; leveranciers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Verwerkersovereenkomsten geregeld met 6 van 7 verwerkers (Supabase incl. TIA, TransIP VO+SVO, Zivver, Nebius, Resend incl. SOC 2 + pentest-attest, Better Stack), vastgelegd in een vaststellingenregister met bewijs-PDF’s; subverwerkersregister v1.1.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Rolduiding Mollie en PostNL (zelfstandig verantwoordelijken) in het verwerkingsregister.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Jaarplanning beveiliging als agenda-items: maandelijks serveronderhoud, kwartaalritueel (sleutels/retentie/auditlog/firewall/toegang), halfjaarlijkse restoretest, jaarreview incl. sleutelrotatie en leveranciersbeoordeling.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Noodplan beveiligingsincident (ook buiten het platform bewaard); documentversiebeheer over het hele dossier.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5. Documenten die er al zijn (dossier docs/avg-compliance/)</w:t>
      </w:r>
    </w:p>
    <w:p>
      <w:pPr>
        <w:spacing w:after="120"/>
      </w:pPr>
      <w:r>
        <w:rPr>
          <w:color w:val="1E293B"/>
        </w:rPr>
        <w:t xml:space="preserve">Vrijwel alle beleidsdocumenten dragen nog de status </w:t>
      </w:r>
      <w:r>
        <w:rPr>
          <w:b/>
          <w:bCs/>
          <w:color w:val="1E293B"/>
        </w:rPr>
        <w:t xml:space="preserve">concept — te toetsen</w:t>
      </w:r>
      <w:r>
        <w:rPr>
          <w:color w:val="1E293B"/>
        </w:rPr>
        <w:t xml:space="preserve">; dat is precies waar de AVG-functionaris bij helpt.</w:t>
      </w:r>
    </w:p>
    <w:tbl>
      <w:tblPr>
        <w:tblW w:type="dxa" w:w="93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3200"/>
        <w:gridCol w:w="6100"/>
      </w:tblGrid>
      <w:tr>
        <w:trPr>
          <w:tblHeader/>
        </w:trPr>
        <w:tc>
          <w:tcPr>
            <w:tcW w:type="dxa" w:w="3200"/>
            <w:shd w:fill="1F168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Map</w:t>
            </w:r>
          </w:p>
        </w:tc>
        <w:tc>
          <w:tcPr>
            <w:tcW w:type="dxa" w:w="6100"/>
            <w:shd w:fill="1F168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Documenten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01 Juridische grondslag &amp; governance</w:t>
            </w:r>
          </w:p>
        </w:tc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grondslagnotitie v1.0 · DPIA-concept v1.0 · verwerkingsregister v1.2 (bedrijfsgegevens + rolduiding ingevuld)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02 Verwerkers &amp; leveranciers</w:t>
            </w:r>
          </w:p>
        </w:tc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dpa-vaststellingen (register) · subverwerkersregister v1.1 · alle DPA/VO-PDF’s + assurance-rapporten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03 Beleid &amp; procedures</w:t>
            </w:r>
          </w:p>
        </w:tc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privacyverklaring-werkversie v1.2 · autorisatiematrix · bewaar- en verwijderbeleid · datalekprocedure · responsible disclosure · security-baseline · toegangsbeheer (JML)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04 Technische beveiliging</w:t>
            </w:r>
          </w:p>
        </w:tc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storage/PDF-beveiligingschecklist v1.1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05 Auditing &amp; logging</w:t>
            </w:r>
          </w:p>
        </w:tc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logging- en auditbeleid v1.0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06 Toegang &amp; dataminimalisatie</w:t>
            </w:r>
          </w:p>
        </w:tc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toegang- en dataminimalisatiebeleid v1.0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07 Betrokkenenrechten</w:t>
            </w:r>
          </w:p>
        </w:tc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procedure betrokkenenrechten v1.0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08 Datalek &amp; incidentrespons</w:t>
            </w:r>
          </w:p>
        </w:tc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datalekregister v1.0 · incidentresponsplan v1.0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09 Mensen &amp; organisatie</w:t>
            </w:r>
          </w:p>
        </w:tc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geheimhoudingsverklaring v1.0 · privacy-/securitytraining v1.0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10 Assurance &amp; testen</w:t>
            </w:r>
          </w:p>
        </w:tc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test- en assuranceplan v1.0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11 Wettelijk kader</w:t>
            </w:r>
          </w:p>
        </w:tc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wettelijk-kader-beoordeling v1.0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12 Aansprakelijkheid &amp; verzekering</w:t>
            </w:r>
          </w:p>
        </w:tc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rolverdeling &amp; aansprakelijkheid v1.0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13 Agenda &amp; planning</w:t>
            </w:r>
          </w:p>
        </w:tc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jaarplanning beveiliging v1.0 + iCal (ingepland in agenda)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Overkoepelend (docs/)</w:t>
            </w:r>
          </w:p>
        </w:tc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beveiligingsmaatregelen v1.1 (15 hoofdstukken) · PII-kluis: implementatieplan v1.2, AVG-toelichting v1.1, sleutelbeheer &amp; retentie v1.0 · server-hardening-checklist v1.1 · betaalmuur v1.1 · noodplan v1.1 · AVG-actielijst v1.0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Publieksdocumenten</w:t>
            </w:r>
          </w:p>
        </w:tc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privacyverklaring + deelnemersinformatie (bronnen bijgewerkt met BV-gegevens; PDF’s op website) · website privacy- en voorwaardenpagina’s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1F1683"/>
        </w:rPr>
        <w:t xml:space="preserve">6. Wat moet er nog gebeuren — route naar AVG-proof &amp; certificeerbaar</w:t>
      </w:r>
    </w:p>
    <w:p>
      <w:pPr>
        <w:pStyle w:val="Heading2"/>
        <w:spacing w:after="80" w:before="180"/>
      </w:pPr>
      <w:r>
        <w:rPr>
          <w:b/>
          <w:bCs/>
          <w:color w:val="1E293B"/>
        </w:rPr>
        <w:t xml:space="preserve">A. Juridisch / governance (met de AVG-functionaris)</w:t>
      </w:r>
    </w:p>
    <w:p>
      <w:pPr>
        <w:spacing w:after="60"/>
        <w:ind w:left="360" w:hanging="360"/>
      </w:pPr>
      <w:r>
        <w:rPr>
          <w:b/>
          <w:bCs/>
          <w:color w:val="1F1683"/>
        </w:rPr>
        <w:t xml:space="preserve">1. </w:t>
      </w:r>
      <w:r>
        <w:rPr>
          <w:b/>
          <w:bCs/>
          <w:color w:val="1E293B"/>
        </w:rPr>
        <w:t xml:space="preserve">FG-plicht beoordelen</w:t>
      </w:r>
      <w:r>
        <w:rPr>
          <w:color w:val="1E293B"/>
        </w:rPr>
        <w:t xml:space="preserve"> (art. 37 AVG): grootschalige verwerking van bijzondere categorieën → waarschijnlijk FG verplicht. Besluit + evt. formele aanstelling en AP-registratie. Direct agendapunt voor dit gesprek.</w:t>
      </w:r>
    </w:p>
    <w:p>
      <w:pPr>
        <w:spacing w:after="60"/>
        <w:ind w:left="360" w:hanging="360"/>
      </w:pPr>
      <w:r>
        <w:rPr>
          <w:b/>
          <w:bCs/>
          <w:color w:val="1F1683"/>
        </w:rPr>
        <w:t xml:space="preserve">2. </w:t>
      </w:r>
      <w:r>
        <w:rPr>
          <w:b/>
          <w:bCs/>
          <w:color w:val="1E293B"/>
        </w:rPr>
        <w:t xml:space="preserve">DPIA afronden en toetsen</w:t>
      </w:r>
      <w:r>
        <w:rPr>
          <w:color w:val="1E293B"/>
        </w:rPr>
        <w:t xml:space="preserve"> (art. 35): concept ligt er; risico-inventarisatie tegen de huidige architectuur aanleggen en vaststellen.</w:t>
      </w:r>
    </w:p>
    <w:p>
      <w:pPr>
        <w:spacing w:after="60"/>
        <w:ind w:left="360" w:hanging="360"/>
      </w:pPr>
      <w:r>
        <w:rPr>
          <w:b/>
          <w:bCs/>
          <w:color w:val="1F1683"/>
        </w:rPr>
        <w:t xml:space="preserve">3. </w:t>
      </w:r>
      <w:r>
        <w:rPr>
          <w:b/>
          <w:bCs/>
          <w:color w:val="1E293B"/>
        </w:rPr>
        <w:t xml:space="preserve">Juridische toetsing van alle conceptdocumenten</w:t>
      </w:r>
      <w:r>
        <w:rPr>
          <w:color w:val="1E293B"/>
        </w:rPr>
        <w:t xml:space="preserve"> (grondslagnotitie, verwerkingsregister, alle beleidsstukken, privacyverklaring) — één toetsingsronde.</w:t>
      </w:r>
    </w:p>
    <w:p>
      <w:pPr>
        <w:spacing w:after="60"/>
        <w:ind w:left="360" w:hanging="360"/>
      </w:pPr>
      <w:r>
        <w:rPr>
          <w:b/>
          <w:bCs/>
          <w:color w:val="1F1683"/>
        </w:rPr>
        <w:t xml:space="preserve">4. </w:t>
      </w:r>
      <w:r>
        <w:rPr>
          <w:b/>
          <w:bCs/>
          <w:color w:val="1E293B"/>
        </w:rPr>
        <w:t xml:space="preserve">Formuleringsbeslissingen publieksdocumenten</w:t>
      </w:r>
      <w:r>
        <w:rPr>
          <w:color w:val="1E293B"/>
        </w:rPr>
        <w:t xml:space="preserve">: FG-passage, Nightingale-VO-zin, leeftijd vs geboortedatum; daarna PDF’s opnieuw uitgeven.</w:t>
      </w:r>
    </w:p>
    <w:p>
      <w:pPr>
        <w:spacing w:after="60"/>
        <w:ind w:left="360" w:hanging="360"/>
      </w:pPr>
      <w:r>
        <w:rPr>
          <w:b/>
          <w:bCs/>
          <w:color w:val="1F1683"/>
        </w:rPr>
        <w:t xml:space="preserve">5. </w:t>
      </w:r>
      <w:r>
        <w:rPr>
          <w:b/>
          <w:bCs/>
          <w:color w:val="1E293B"/>
        </w:rPr>
        <w:t xml:space="preserve">Bewaartermijnen definitief vaststellen</w:t>
      </w:r>
      <w:r>
        <w:rPr>
          <w:color w:val="1E293B"/>
        </w:rPr>
        <w:t xml:space="preserve"> en synchroniseren met verwerkingsregister + privacyverklaring (verwijdermechanisme is al gebouwd).</w:t>
      </w:r>
    </w:p>
    <w:p>
      <w:pPr>
        <w:spacing w:after="60"/>
        <w:ind w:left="360" w:hanging="360"/>
      </w:pPr>
      <w:r>
        <w:rPr>
          <w:b/>
          <w:bCs/>
          <w:color w:val="1F1683"/>
        </w:rPr>
        <w:t xml:space="preserve">6. </w:t>
      </w:r>
      <w:r>
        <w:rPr>
          <w:b/>
          <w:bCs/>
          <w:color w:val="1E293B"/>
        </w:rPr>
        <w:t xml:space="preserve">Organisatorische invulvelden beleggen</w:t>
      </w:r>
      <w:r>
        <w:rPr>
          <w:color w:val="1E293B"/>
        </w:rPr>
        <w:t xml:space="preserve">: meldpunt datalekken, meldadres responsible disclosure, contactpunt betrokkenenrechten, verantwoordelijke + frequentie toegangsreviews, break-glass-procedure, back-upritme.</w:t>
      </w:r>
    </w:p>
    <w:p>
      <w:pPr>
        <w:pStyle w:val="Heading2"/>
        <w:spacing w:after="80" w:before="180"/>
      </w:pPr>
      <w:r>
        <w:rPr>
          <w:b/>
          <w:bCs/>
          <w:color w:val="1E293B"/>
        </w:rPr>
        <w:t xml:space="preserve">B. Contracten &amp; leveranciers</w:t>
      </w:r>
    </w:p>
    <w:p>
      <w:pPr>
        <w:spacing w:after="60"/>
        <w:ind w:left="360" w:hanging="360"/>
      </w:pPr>
      <w:r>
        <w:rPr>
          <w:b/>
          <w:bCs/>
          <w:color w:val="1F1683"/>
        </w:rPr>
        <w:t xml:space="preserve">7. </w:t>
      </w:r>
      <w:r>
        <w:rPr>
          <w:b/>
          <w:bCs/>
          <w:color w:val="1E293B"/>
        </w:rPr>
        <w:t xml:space="preserve">Nightingale-VO</w:t>
      </w:r>
      <w:r>
        <w:rPr>
          <w:color w:val="1E293B"/>
        </w:rPr>
        <w:t xml:space="preserve"> sluiten (loopt mee in het geplande contractgesprek).</w:t>
      </w:r>
    </w:p>
    <w:p>
      <w:pPr>
        <w:spacing w:after="60"/>
        <w:ind w:left="360" w:hanging="360"/>
      </w:pPr>
      <w:r>
        <w:rPr>
          <w:b/>
          <w:bCs/>
          <w:color w:val="1F1683"/>
        </w:rPr>
        <w:t xml:space="preserve">8. </w:t>
      </w:r>
      <w:r>
        <w:rPr>
          <w:color w:val="1E293B"/>
        </w:rPr>
        <w:t xml:space="preserve">Bevestiging vastleggen dat support/analytics geen medische data bevatten.</w:t>
      </w:r>
    </w:p>
    <w:p>
      <w:pPr>
        <w:pStyle w:val="Heading2"/>
        <w:spacing w:after="80" w:before="180"/>
      </w:pPr>
      <w:r>
        <w:rPr>
          <w:b/>
          <w:bCs/>
          <w:color w:val="1E293B"/>
        </w:rPr>
        <w:t xml:space="preserve">C. Techniek (restpunten)</w:t>
      </w:r>
    </w:p>
    <w:p>
      <w:pPr>
        <w:spacing w:after="60"/>
        <w:ind w:left="360" w:hanging="360"/>
      </w:pPr>
      <w:r>
        <w:rPr>
          <w:b/>
          <w:bCs/>
          <w:color w:val="1F1683"/>
        </w:rPr>
        <w:t xml:space="preserve">9. </w:t>
      </w:r>
      <w:r>
        <w:rPr>
          <w:color w:val="1E293B"/>
        </w:rPr>
        <w:t xml:space="preserve">Supabase SSL-enforcement + netwerk-restricties aanzetten.</w:t>
      </w:r>
    </w:p>
    <w:p>
      <w:pPr>
        <w:spacing w:after="60"/>
        <w:ind w:left="360" w:hanging="360"/>
      </w:pPr>
      <w:r>
        <w:rPr>
          <w:b/>
          <w:bCs/>
          <w:color w:val="1F1683"/>
        </w:rPr>
        <w:t xml:space="preserve">10. </w:t>
      </w:r>
      <w:r>
        <w:rPr>
          <w:color w:val="1E293B"/>
        </w:rPr>
        <w:t xml:space="preserve">Leesacties (inzage) vollediger loggen (NEN 7513-richting).</w:t>
      </w:r>
    </w:p>
    <w:p>
      <w:pPr>
        <w:spacing w:after="60"/>
        <w:ind w:left="360" w:hanging="360"/>
      </w:pPr>
      <w:r>
        <w:rPr>
          <w:b/>
          <w:bCs/>
          <w:color w:val="1F1683"/>
        </w:rPr>
        <w:t xml:space="preserve">11. </w:t>
      </w:r>
      <w:r>
        <w:rPr>
          <w:color w:val="1E293B"/>
        </w:rPr>
        <w:t xml:space="preserve">Publieke PDF’s her-exporteren en op beide publicatieplekken vervangen.</w:t>
      </w:r>
    </w:p>
    <w:p>
      <w:pPr>
        <w:pStyle w:val="Heading2"/>
        <w:spacing w:after="80" w:before="180"/>
      </w:pPr>
      <w:r>
        <w:rPr>
          <w:b/>
          <w:bCs/>
          <w:color w:val="1E293B"/>
        </w:rPr>
        <w:t xml:space="preserve">D. Assurance &amp; certificering</w:t>
      </w:r>
    </w:p>
    <w:p>
      <w:pPr>
        <w:spacing w:after="60"/>
        <w:ind w:left="360" w:hanging="360"/>
      </w:pPr>
      <w:r>
        <w:rPr>
          <w:b/>
          <w:bCs/>
          <w:color w:val="1F1683"/>
        </w:rPr>
        <w:t xml:space="preserve">12. </w:t>
      </w:r>
      <w:r>
        <w:rPr>
          <w:b/>
          <w:bCs/>
          <w:color w:val="1E293B"/>
        </w:rPr>
        <w:t xml:space="preserve">Externe pentest</w:t>
      </w:r>
      <w:r>
        <w:rPr>
          <w:color w:val="1E293B"/>
        </w:rPr>
        <w:t xml:space="preserve"> van platform en infrastructuur.</w:t>
      </w:r>
    </w:p>
    <w:p>
      <w:pPr>
        <w:spacing w:after="60"/>
        <w:ind w:left="360" w:hanging="360"/>
      </w:pPr>
      <w:r>
        <w:rPr>
          <w:b/>
          <w:bCs/>
          <w:color w:val="1F1683"/>
        </w:rPr>
        <w:t xml:space="preserve">13. </w:t>
      </w:r>
      <w:r>
        <w:rPr>
          <w:b/>
          <w:bCs/>
          <w:color w:val="1E293B"/>
        </w:rPr>
        <w:t xml:space="preserve">Gap-analyse NEN 7510/7513</w:t>
      </w:r>
      <w:r>
        <w:rPr>
          <w:color w:val="1E293B"/>
        </w:rPr>
        <w:t xml:space="preserve"> — bepalen welke certificering passend is: NEN 7510 en/of ISO 27001. Realistisch pad: gap-analyse → ISMS inrichten (veel bouwstenen bestaan al: beleid, logging, jaarplanning, incidentproces) → interne audit → externe certificeringsaudit. NB: een “AVG-certificaat” (art. 42) bestaat in NL nauwelijks; certificering loopt in de praktijk via NEN 7510/ISO 27001 + aantoonbare AVG-compliance (dit dossier).</w:t>
      </w:r>
    </w:p>
    <w:p>
      <w:pPr>
        <w:spacing w:after="60"/>
        <w:ind w:left="360" w:hanging="360"/>
      </w:pPr>
      <w:r>
        <w:rPr>
          <w:b/>
          <w:bCs/>
          <w:color w:val="1F1683"/>
        </w:rPr>
        <w:t xml:space="preserve">14. </w:t>
      </w:r>
      <w:r>
        <w:rPr>
          <w:color w:val="1E293B"/>
        </w:rPr>
        <w:t xml:space="preserve">Halfjaarlijkse restoretest (eerste: feb 2027) en jaarlijkse leveranciersbeoordeling (aug 2027) — al ingepland.</w:t>
      </w:r>
    </w:p>
    <w:p>
      <w:pPr>
        <w:pStyle w:val="Heading2"/>
        <w:spacing w:after="80" w:before="180"/>
      </w:pPr>
      <w:r>
        <w:rPr>
          <w:b/>
          <w:bCs/>
          <w:color w:val="1E293B"/>
        </w:rPr>
        <w:t xml:space="preserve">E. Mensen &amp; proces</w:t>
      </w:r>
    </w:p>
    <w:p>
      <w:pPr>
        <w:spacing w:after="60"/>
        <w:ind w:left="360" w:hanging="360"/>
      </w:pPr>
      <w:r>
        <w:rPr>
          <w:b/>
          <w:bCs/>
          <w:color w:val="1F1683"/>
        </w:rPr>
        <w:t xml:space="preserve">15. </w:t>
      </w:r>
      <w:r>
        <w:rPr>
          <w:color w:val="1E293B"/>
        </w:rPr>
        <w:t xml:space="preserve">Training + geheimhoudingsverklaringen uitrollen zodra er medewerkers bij komen.</w:t>
      </w:r>
    </w:p>
    <w:p>
      <w:pPr>
        <w:spacing w:after="60"/>
        <w:ind w:left="360" w:hanging="360"/>
      </w:pPr>
      <w:r>
        <w:rPr>
          <w:b/>
          <w:bCs/>
          <w:color w:val="1F1683"/>
        </w:rPr>
        <w:t xml:space="preserve">16. </w:t>
      </w:r>
      <w:r>
        <w:rPr>
          <w:color w:val="1E293B"/>
        </w:rPr>
        <w:t xml:space="preserve">Kwartaalritueel uitvoeren én de uitkomsten vastleggen (aantoonbaarheid).</w:t>
      </w:r>
    </w:p>
    <w:p>
      <w:pPr>
        <w:spacing w:after="60"/>
      </w:pPr>
    </w:p>
    <w:p>
      <w:pPr>
        <w:pStyle w:val="Heading2"/>
        <w:spacing w:after="80" w:before="180"/>
      </w:pPr>
      <w:r>
        <w:rPr>
          <w:b/>
          <w:bCs/>
          <w:color w:val="1E293B"/>
        </w:rPr>
        <w:t xml:space="preserve">Voorstel gespreksagenda AVG-functionaris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FG-plicht en rolinvulling (punt 1)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DPIA-toetsing (punt 2)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Toetsingsronde beleidsdocumenten (punt 3–4)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Bewaartermijnen (punt 5)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Certificeringsambitie en -route (punt 12–13)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Afspraken over periodiek overleg en aantoonbaarheid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Bijlagen bij dit gesprek</w:t>
      </w:r>
    </w:p>
    <w:tbl>
      <w:tblPr>
        <w:tblW w:type="dxa" w:w="93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3400"/>
        <w:gridCol w:w="3400"/>
        <w:gridCol w:w="2500"/>
      </w:tblGrid>
      <w:tr>
        <w:trPr>
          <w:tblHeader/>
        </w:trPr>
        <w:tc>
          <w:tcPr>
            <w:tcW w:type="dxa" w:w="3400"/>
            <w:shd w:fill="1F168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Bijlage</w:t>
            </w:r>
          </w:p>
        </w:tc>
        <w:tc>
          <w:tcPr>
            <w:tcW w:type="dxa" w:w="3400"/>
            <w:shd w:fill="1F168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Waarom meenemen</w:t>
            </w:r>
          </w:p>
        </w:tc>
        <w:tc>
          <w:tcPr>
            <w:tcW w:type="dxa" w:w="2500"/>
            <w:shd w:fill="1F168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Vindplaats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PII-kluis — toelichting voor de AVG-functionaris v1.1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Legt de versleutelings- en pseudonimiseringsaanpak uit in gewone taal, geschreven voor precies deze doelgroep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Word: </w:t>
            </w:r>
            <w:r>
              <w:rPr>
                <w:rFonts w:ascii="Consolas" w:cs="Consolas" w:eastAsia="Consolas" w:hAnsi="Consolas"/>
                <w:color w:val="1F1683"/>
                <w:sz w:val="16"/>
                <w:szCs w:val="16"/>
              </w:rPr>
              <w:t xml:space="preserve">docs/pii-kluis-toelichting-avg-v1.1.docx</w:t>
            </w:r>
            <w:r>
              <w:rPr>
                <w:color w:val="1E293B"/>
                <w:sz w:val="18"/>
                <w:szCs w:val="18"/>
              </w:rPr>
              <w:t xml:space="preserve"> · markdown: </w:t>
            </w:r>
            <w:r>
              <w:rPr>
                <w:rFonts w:ascii="Consolas" w:cs="Consolas" w:eastAsia="Consolas" w:hAnsi="Consolas"/>
                <w:color w:val="1F1683"/>
                <w:sz w:val="16"/>
                <w:szCs w:val="16"/>
              </w:rPr>
              <w:t xml:space="preserve">docs/avg-compliance/pii-kluis-toelichting-avg-v1.1.md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Beveiligingsmaatregelen v1.1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Het overkoepelende maatregelen-document (15 hoofdstukken) als naslagwerk bij hoofdstuk 4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683"/>
                <w:sz w:val="16"/>
                <w:szCs w:val="16"/>
              </w:rPr>
              <w:t xml:space="preserve">docs/beveiligingsmaatregelen-vita-health-v1.1.docx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Subverwerkersregister v1.1 + dpa-vaststellingen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Bewijs bij hoofdstuk 2 en 5: alle partijen, overeenkomsten en subverwerkers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683"/>
                <w:sz w:val="16"/>
                <w:szCs w:val="16"/>
              </w:rPr>
              <w:t xml:space="preserve">docs/avg-compliance/02-verwerkers-leveranciers/</w:t>
            </w:r>
          </w:p>
        </w:tc>
      </w:tr>
    </w:tbl>
    <w:sectPr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1683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E293B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AVG-briefing — v1.0</dc:title>
  <dc:creator>Vita Health</dc:creator>
  <cp:lastModifiedBy>Un-named</cp:lastModifiedBy>
  <cp:revision>1</cp:revision>
  <dcterms:created xsi:type="dcterms:W3CDTF">2026-08-19T12:47:09.927Z</dcterms:created>
  <dcterms:modified xsi:type="dcterms:W3CDTF">2026-08-19T12:47:09.932Z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