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1683"/>
          <w:spacing w:val="60"/>
          <w:sz w:val="24"/>
          <w:szCs w:val="24"/>
        </w:rPr>
        <w:t xml:space="preserve">CONCEPT — INTERN DOCUMENT</w:t>
      </w:r>
    </w:p>
    <w:p>
      <w:pPr>
        <w:pBdr>
          <w:bottom w:val="single" w:color="04B788" w:sz="18"/>
        </w:pBdr>
        <w:spacing w:after="0" w:before="40"/>
      </w:pPr>
    </w:p>
    <w:p>
      <w:pPr>
        <w:spacing w:after="0" w:before="260"/>
      </w:pPr>
      <w:r>
        <w:rPr>
          <w:b/>
          <w:bCs/>
          <w:color w:val="1E293B"/>
          <w:sz w:val="52"/>
          <w:szCs w:val="52"/>
        </w:rPr>
        <w:t xml:space="preserve">Privacyverklaring (werkversie)</w:t>
      </w:r>
    </w:p>
    <w:p>
      <w:pPr>
        <w:spacing w:after="0" w:before="120"/>
      </w:pPr>
      <w:r>
        <w:rPr>
          <w:color w:val="64748B"/>
          <w:sz w:val="28"/>
          <w:szCs w:val="28"/>
        </w:rPr>
        <w:t xml:space="preserve">Vita Health — biomarkertest &amp; platform</w:t>
      </w:r>
    </w:p>
    <w:p>
      <w:pPr>
        <w:spacing w:after="0" w:before="900"/>
      </w:pPr>
      <w:r>
        <w:rPr>
          <w:b/>
          <w:bCs/>
          <w:color w:val="1E293B"/>
          <w:sz w:val="24"/>
          <w:szCs w:val="24"/>
        </w:rPr>
        <w:t xml:space="preserve">Documentversie 1.2 (concept) — 19 augustus 2026</w:t>
      </w:r>
    </w:p>
    <w:p>
      <w:pPr>
        <w:spacing w:after="0" w:before="40"/>
      </w:pPr>
      <w:r>
        <w:rPr>
          <w:color w:val="64748B"/>
          <w:sz w:val="22"/>
          <w:szCs w:val="22"/>
        </w:rPr>
        <w:t xml:space="preserve">Gebaseerd op: privacyverklaring biomarkertest v1.1 (4 juni 2026, bronbestand Pieter-Frank), aangevuld met betaal-, AI- en verwerkersinformatie uit het platform</w:t>
      </w:r>
    </w:p>
    <w:p>
      <w:pPr>
        <w:spacing w:after="0" w:before="40"/>
      </w:pPr>
      <w:r>
        <w:rPr>
          <w:color w:val="64748B"/>
          <w:sz w:val="22"/>
          <w:szCs w:val="22"/>
        </w:rPr>
        <w:t xml:space="preserve">CONCEPT — redactienoten (geel) afhandelen en juridisch laten toetsen vóór publicatie. Geen juridisch advies.</w:t>
      </w:r>
    </w:p>
    <w:p>
      <w:r>
        <w:br w:type="page"/>
      </w:r>
    </w:p>
    <w:p>
      <w:pPr>
        <w:spacing w:after="120"/>
      </w:pPr>
      <w:r>
        <w:rPr>
          <w:color w:val="1E293B"/>
        </w:rPr>
        <w:t xml:space="preserve">Dit is de redactionele werkversie van de publieksprivacyverklaring. De gepubliceerde versies zijn de PDF </w:t>
      </w:r>
      <w:r>
        <w:rPr>
          <w:rFonts w:ascii="Consolas" w:cs="Consolas" w:eastAsia="Consolas" w:hAnsi="Consolas"/>
          <w:color w:val="1F1683"/>
        </w:rPr>
        <w:t xml:space="preserve">privacyverklaring-vita-health.pdf</w:t>
      </w:r>
      <w:r>
        <w:rPr>
          <w:color w:val="1E293B"/>
        </w:rPr>
        <w:t xml:space="preserve"> (in </w:t>
      </w:r>
      <w:r>
        <w:rPr>
          <w:rFonts w:ascii="Consolas" w:cs="Consolas" w:eastAsia="Consolas" w:hAnsi="Consolas"/>
          <w:color w:val="1F1683"/>
        </w:rPr>
        <w:t xml:space="preserve">public/</w:t>
      </w:r>
      <w:r>
        <w:rPr>
          <w:color w:val="1E293B"/>
        </w:rPr>
        <w:t xml:space="preserve"> en </w:t>
      </w:r>
      <w:r>
        <w:rPr>
          <w:rFonts w:ascii="Consolas" w:cs="Consolas" w:eastAsia="Consolas" w:hAnsi="Consolas"/>
          <w:color w:val="1F1683"/>
        </w:rPr>
        <w:t xml:space="preserve">website/downloads/</w:t>
      </w:r>
      <w:r>
        <w:rPr>
          <w:color w:val="1E293B"/>
        </w:rPr>
        <w:t xml:space="preserve">) en de webpagina </w:t>
      </w:r>
      <w:r>
        <w:rPr>
          <w:rFonts w:ascii="Consolas" w:cs="Consolas" w:eastAsia="Consolas" w:hAnsi="Consolas"/>
          <w:color w:val="1F1683"/>
        </w:rPr>
        <w:t xml:space="preserve">vita-health.nl/privacy.html</w:t>
      </w:r>
      <w:r>
        <w:rPr>
          <w:color w:val="1E293B"/>
        </w:rPr>
        <w:t xml:space="preserve">. Houd alle versies synchroon: wijzig eerst hier, en publiceer daarna.</w:t>
      </w:r>
    </w:p>
    <w:p>
      <w:pPr>
        <w:spacing w:after="60"/>
      </w:pPr>
    </w:p>
    <w:p>
      <w:pPr>
        <w:pStyle w:val="Heading1"/>
        <w:spacing w:after="120" w:before="280"/>
      </w:pPr>
      <w:r>
        <w:rPr>
          <w:b/>
          <w:bCs/>
          <w:color w:val="1F1683"/>
        </w:rPr>
        <w:t xml:space="preserve">Overzicht</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2900"/>
        <w:gridCol w:w="6400"/>
      </w:tblGrid>
      <w:tr>
        <w:trPr>
          <w:tblHeader/>
        </w:trPr>
        <w:tc>
          <w:tcPr>
            <w:tcW w:type="dxa" w:w="2900"/>
            <w:shd w:fill="1F1683" w:color="auto" w:val="clear"/>
            <w:tcMar>
              <w:top w:type="dxa" w:w="70"/>
              <w:left w:type="dxa" w:w="110"/>
              <w:bottom w:type="dxa" w:w="70"/>
              <w:right w:type="dxa" w:w="110"/>
            </w:tcMar>
          </w:tcPr>
          <w:p>
            <w:pPr>
              <w:spacing w:after="0"/>
            </w:pPr>
            <w:r>
              <w:rPr>
                <w:b/>
                <w:bCs/>
                <w:color w:val="FFFFFF"/>
                <w:sz w:val="18"/>
                <w:szCs w:val="18"/>
              </w:rPr>
              <w:t xml:space="preserve">Onderwerp</w:t>
            </w:r>
          </w:p>
        </w:tc>
        <w:tc>
          <w:tcPr>
            <w:tcW w:type="dxa" w:w="6400"/>
            <w:shd w:fill="1F1683" w:color="auto" w:val="clear"/>
            <w:tcMar>
              <w:top w:type="dxa" w:w="70"/>
              <w:left w:type="dxa" w:w="110"/>
              <w:bottom w:type="dxa" w:w="70"/>
              <w:right w:type="dxa" w:w="110"/>
            </w:tcMar>
          </w:tcPr>
          <w:p>
            <w:pPr>
              <w:spacing w:after="0"/>
            </w:pPr>
            <w:r>
              <w:rPr>
                <w:b/>
                <w:bCs/>
                <w:color w:val="FFFFFF"/>
                <w:sz w:val="18"/>
                <w:szCs w:val="18"/>
              </w:rPr>
              <w:t xml:space="preserve">Gegevens</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Verwerkingsverantwoordelijke</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Vitahealth BV — KvK 42133916</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Vestigingsadres</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Oudhuizerstraat 31, 7382 BS Klarenbeek</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Contactpersoon privacy</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Pieter-Frank van Boven — info@vita-health.nl</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Helpdesk</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helpdesk.vita-health.nl</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Analysepartner (verwerker)</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Nightingale Health Plc, Helsinki, Finland (EER)</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Betaaldienst (zelfstandig verantwoordelijke)</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Mollie</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Toezichthouder</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Autoriteit Persoonsgegevens — www.autoriteitpersoonsgegevens.nl</w:t>
            </w:r>
          </w:p>
        </w:tc>
      </w:tr>
    </w:tbl>
    <w:p>
      <w:pPr>
        <w:spacing w:after="60"/>
      </w:pPr>
    </w:p>
    <w:tbl>
      <w:tblPr>
        <w:tblW w:type="dxa" w:w="9300"/>
        <w:tblBorders>
          <w:top w:val="single" w:color="CA8A04" w:sz="4"/>
          <w:left w:val="single" w:color="CA8A04" w:sz="12"/>
          <w:bottom w:val="single" w:color="CA8A04" w:sz="4"/>
          <w:right w:val="single" w:color="CA8A04" w:sz="4"/>
          <w:insideH w:val="single" w:color="CA8A04" w:sz="4"/>
          <w:insideV w:val="single" w:color="CA8A04" w:sz="4"/>
        </w:tblBorders>
      </w:tblPr>
      <w:tblGrid>
        <w:gridCol w:w="9300"/>
      </w:tblGrid>
      <w:tr>
        <w:tc>
          <w:tcPr>
            <w:tcW w:type="dxa" w:w="9300"/>
            <w:shd w:fill="FEF9C3" w:color="auto" w:val="clear"/>
            <w:tcMar>
              <w:top w:type="dxa" w:w="90"/>
              <w:left w:type="dxa" w:w="150"/>
              <w:bottom w:type="dxa" w:w="90"/>
              <w:right w:type="dxa" w:w="130"/>
            </w:tcMar>
          </w:tcPr>
          <w:p>
            <w:pPr>
              <w:spacing w:after="0"/>
            </w:pPr>
            <w:r>
              <w:rPr>
                <w:b/>
                <w:bCs/>
                <w:color w:val="854D0E"/>
                <w:sz w:val="18"/>
                <w:szCs w:val="18"/>
              </w:rPr>
              <w:t xml:space="preserve">REDACTIENOOT — </w:t>
            </w:r>
            <w:r>
              <w:rPr>
                <w:color w:val="1E293B"/>
              </w:rPr>
              <w:t xml:space="preserve">Bevestig dat </w:t>
            </w:r>
            <w:r>
              <w:rPr>
                <w:rFonts w:ascii="Consolas" w:cs="Consolas" w:eastAsia="Consolas" w:hAnsi="Consolas"/>
                <w:color w:val="1F1683"/>
              </w:rPr>
              <w:t xml:space="preserve">helpdesk.vita-health.nl</w:t>
            </w:r>
            <w:r>
              <w:rPr>
                <w:color w:val="1E293B"/>
              </w:rPr>
              <w:t xml:space="preserve"> het blijvende kanaal is voor privacyverzoeken; het klantportaal verhuist mogelijk naar een eigen domein.</w:t>
            </w:r>
          </w:p>
        </w:tc>
      </w:tr>
    </w:tbl>
    <w:p>
      <w:pPr>
        <w:spacing w:after="60"/>
      </w:pPr>
    </w:p>
    <w:p>
      <w:pPr>
        <w:spacing w:after="120"/>
      </w:pPr>
      <w:r>
        <w:rPr>
          <w:color w:val="1E293B"/>
        </w:rPr>
        <w:t xml:space="preserve">Deze privacyverklaring legt uit hoe Vitahealth BV (hierna: Vita Health) omgaat met uw persoonsgegevens en gezondheidsgegevens wanneer u een Vita Health biomarkertest bestelt en daaraan deelneemt.</w:t>
      </w:r>
    </w:p>
    <w:p>
      <w:pPr>
        <w:pStyle w:val="Heading1"/>
        <w:spacing w:after="120" w:before="280"/>
      </w:pPr>
      <w:r>
        <w:rPr>
          <w:b/>
          <w:bCs/>
          <w:color w:val="1F1683"/>
        </w:rPr>
        <w:t xml:space="preserve">1. Waar gaat deze privacyverklaring over?</w:t>
      </w:r>
    </w:p>
    <w:p>
      <w:pPr>
        <w:spacing w:after="120"/>
      </w:pPr>
      <w:r>
        <w:rPr>
          <w:color w:val="1E293B"/>
        </w:rPr>
        <w:t xml:space="preserve">De biomarkertest is een bloedtest op basis van een vingerprik en een dried blood spot-kit. Uw sample wordt geanalyseerd door Nightingale Health Plc. Vita Health ontvangt de resultaten, laat deze medisch beoordelen en koppelt de uitslag zorgvuldig aan u terug.</w:t>
      </w:r>
    </w:p>
    <w:p>
      <w:pPr>
        <w:spacing w:after="120"/>
      </w:pPr>
      <w:r>
        <w:rPr>
          <w:color w:val="1E293B"/>
        </w:rPr>
        <w:t xml:space="preserve">Deze privacyverklaring hoort bij:</w:t>
      </w:r>
    </w:p>
    <w:p>
      <w:pPr>
        <w:pStyle w:val="ListParagraph"/>
        <w:numPr>
          <w:ilvl w:val="0"/>
          <w:numId w:val="1"/>
        </w:numPr>
        <w:spacing w:after="50"/>
      </w:pPr>
      <w:r>
        <w:rPr>
          <w:color w:val="1E293B"/>
        </w:rPr>
        <w:t xml:space="preserve">de deelnemersinformatie;</w:t>
      </w:r>
    </w:p>
    <w:p>
      <w:pPr>
        <w:pStyle w:val="ListParagraph"/>
        <w:numPr>
          <w:ilvl w:val="0"/>
          <w:numId w:val="1"/>
        </w:numPr>
        <w:spacing w:after="50"/>
      </w:pPr>
      <w:r>
        <w:rPr>
          <w:color w:val="1E293B"/>
        </w:rPr>
        <w:t xml:space="preserve">het toestemmingsformulier / informed consent;</w:t>
      </w:r>
    </w:p>
    <w:p>
      <w:pPr>
        <w:pStyle w:val="ListParagraph"/>
        <w:numPr>
          <w:ilvl w:val="0"/>
          <w:numId w:val="1"/>
        </w:numPr>
        <w:spacing w:after="50"/>
      </w:pPr>
      <w:r>
        <w:rPr>
          <w:color w:val="1E293B"/>
        </w:rPr>
        <w:t xml:space="preserve">de gezondheids- en geschiktheidsvragenlijst;</w:t>
      </w:r>
    </w:p>
    <w:p>
      <w:pPr>
        <w:pStyle w:val="ListParagraph"/>
        <w:numPr>
          <w:ilvl w:val="0"/>
          <w:numId w:val="1"/>
        </w:numPr>
        <w:spacing w:after="50"/>
      </w:pPr>
      <w:r>
        <w:rPr>
          <w:color w:val="1E293B"/>
        </w:rPr>
        <w:t xml:space="preserve">de bestelling en betaling van de test;</w:t>
      </w:r>
    </w:p>
    <w:p>
      <w:pPr>
        <w:pStyle w:val="ListParagraph"/>
        <w:numPr>
          <w:ilvl w:val="0"/>
          <w:numId w:val="1"/>
        </w:numPr>
        <w:spacing w:after="50"/>
      </w:pPr>
      <w:r>
        <w:rPr>
          <w:color w:val="1E293B"/>
        </w:rPr>
        <w:t xml:space="preserve">het proces rondom afname, analyse en terugkoppeling van de biomarkertest.</w:t>
      </w:r>
    </w:p>
    <w:p>
      <w:pPr>
        <w:spacing w:after="120"/>
      </w:pPr>
      <w:r>
        <w:rPr>
          <w:color w:val="1E293B"/>
        </w:rPr>
        <w:t xml:space="preserve">De biomarkertest stelt geen diagnose en is geen vervanging van reguliere medische zorg of diagnostiek.</w:t>
      </w:r>
    </w:p>
    <w:p>
      <w:pPr>
        <w:pStyle w:val="Heading1"/>
        <w:spacing w:after="120" w:before="280"/>
      </w:pPr>
      <w:r>
        <w:rPr>
          <w:b/>
          <w:bCs/>
          <w:color w:val="1F1683"/>
        </w:rPr>
        <w:t xml:space="preserve">2. Wie is verantwoordelijk voor uw gegevens?</w:t>
      </w:r>
    </w:p>
    <w:p>
      <w:pPr>
        <w:spacing w:after="120"/>
      </w:pPr>
      <w:r>
        <w:rPr>
          <w:b/>
          <w:bCs/>
          <w:color w:val="1E293B"/>
        </w:rPr>
        <w:t xml:space="preserve">Vitahealth BV</w:t>
      </w:r>
      <w:r>
        <w:rPr>
          <w:color w:val="1E293B"/>
        </w:rPr>
        <w:t xml:space="preserve">, gevestigd aan de Oudhuizerstraat 31, 7382 BS Klarenbeek en ingeschreven bij de Kamer van Koophandel onder nummer 42133916, is de verwerkingsverantwoordelijke in de zin van de Algemene Verordening Gegevensbescherming (AVG). Dat betekent dat Vita Health bepaalt welke gegevens worden verwerkt, voor welke doelen en hoe.</w:t>
      </w:r>
    </w:p>
    <w:tbl>
      <w:tblPr>
        <w:tblW w:type="dxa" w:w="9300"/>
        <w:tblBorders>
          <w:top w:val="single" w:color="CA8A04" w:sz="4"/>
          <w:left w:val="single" w:color="CA8A04" w:sz="12"/>
          <w:bottom w:val="single" w:color="CA8A04" w:sz="4"/>
          <w:right w:val="single" w:color="CA8A04" w:sz="4"/>
          <w:insideH w:val="single" w:color="CA8A04" w:sz="4"/>
          <w:insideV w:val="single" w:color="CA8A04" w:sz="4"/>
        </w:tblBorders>
      </w:tblPr>
      <w:tblGrid>
        <w:gridCol w:w="9300"/>
      </w:tblGrid>
      <w:tr>
        <w:tc>
          <w:tcPr>
            <w:tcW w:type="dxa" w:w="9300"/>
            <w:shd w:fill="FEF9C3" w:color="auto" w:val="clear"/>
            <w:tcMar>
              <w:top w:type="dxa" w:w="90"/>
              <w:left w:type="dxa" w:w="150"/>
              <w:bottom w:type="dxa" w:w="90"/>
              <w:right w:type="dxa" w:w="130"/>
            </w:tcMar>
          </w:tcPr>
          <w:p>
            <w:pPr>
              <w:spacing w:after="0"/>
            </w:pPr>
            <w:r>
              <w:rPr>
                <w:b/>
                <w:bCs/>
                <w:color w:val="854D0E"/>
                <w:sz w:val="18"/>
                <w:szCs w:val="18"/>
              </w:rPr>
              <w:t xml:space="preserve">REDACTIENOOT — </w:t>
            </w:r>
            <w:r>
              <w:rPr>
                <w:color w:val="1E293B"/>
              </w:rPr>
              <w:t xml:space="preserve">FG-passage: in het bronbestand staat nog de invulinstructie "Resultaat van deze beoordeling invullen". Feitelijke stand: er is (nog) géén FG aangesteld; de beoordeling van de FG-plicht staat op de actielijst. Kies de definitieve formulering pas na die beoordeling — schrijf niet "Een FG is aangesteld" zolang dat niet zo is.</w:t>
            </w:r>
          </w:p>
        </w:tc>
      </w:tr>
    </w:tbl>
    <w:p>
      <w:pPr>
        <w:spacing w:after="60"/>
      </w:pPr>
    </w:p>
    <w:p>
      <w:pPr>
        <w:spacing w:after="120"/>
      </w:pPr>
      <w:r>
        <w:rPr>
          <w:b/>
          <w:bCs/>
          <w:color w:val="1E293B"/>
        </w:rPr>
        <w:t xml:space="preserve">Verwerker:</w:t>
      </w:r>
      <w:r>
        <w:rPr>
          <w:color w:val="1E293B"/>
        </w:rPr>
        <w:t xml:space="preserve"> Nightingale Health Plc (Helsinki, Finland) verwerkt bepaalde gegevens als verwerker in opdracht van Vita Health, uitsluitend voor de analyse van uw sample en het opstellen van de biomarkerrapportage. Nightingale Health is gevestigd in Finland (binnen de Europese Economische Ruimte), zodat geen aanvullende vereisten voor internationale doorgifte van toepassing zijn.</w:t>
      </w:r>
    </w:p>
    <w:tbl>
      <w:tblPr>
        <w:tblW w:type="dxa" w:w="9300"/>
        <w:tblBorders>
          <w:top w:val="single" w:color="CA8A04" w:sz="4"/>
          <w:left w:val="single" w:color="CA8A04" w:sz="12"/>
          <w:bottom w:val="single" w:color="CA8A04" w:sz="4"/>
          <w:right w:val="single" w:color="CA8A04" w:sz="4"/>
          <w:insideH w:val="single" w:color="CA8A04" w:sz="4"/>
          <w:insideV w:val="single" w:color="CA8A04" w:sz="4"/>
        </w:tblBorders>
      </w:tblPr>
      <w:tblGrid>
        <w:gridCol w:w="9300"/>
      </w:tblGrid>
      <w:tr>
        <w:tc>
          <w:tcPr>
            <w:tcW w:type="dxa" w:w="9300"/>
            <w:shd w:fill="FEF9C3" w:color="auto" w:val="clear"/>
            <w:tcMar>
              <w:top w:type="dxa" w:w="90"/>
              <w:left w:type="dxa" w:w="150"/>
              <w:bottom w:type="dxa" w:w="90"/>
              <w:right w:type="dxa" w:w="130"/>
            </w:tcMar>
          </w:tcPr>
          <w:p>
            <w:pPr>
              <w:spacing w:after="0"/>
            </w:pPr>
            <w:r>
              <w:rPr>
                <w:b/>
                <w:bCs/>
                <w:color w:val="854D0E"/>
                <w:sz w:val="18"/>
                <w:szCs w:val="18"/>
              </w:rPr>
              <w:t xml:space="preserve">REDACTIENOOT — </w:t>
            </w:r>
            <w:r>
              <w:rPr>
                <w:color w:val="1E293B"/>
              </w:rPr>
              <w:t xml:space="preserve">Het bronbestand claimt "Met Nightingale Health is een verwerkersovereenkomst gesloten conform artikel 28 AVG" — die VO is nog niet gesloten (loopt mee in het contractgesprek). Publiceer deze zin pas wanneer de VO er daadwerkelijk is, of formuleer neutraal: "Met Nightingale Health worden afspraken conform artikel 28 AVG vastgelegd."</w:t>
            </w:r>
          </w:p>
        </w:tc>
      </w:tr>
    </w:tbl>
    <w:p>
      <w:pPr>
        <w:pStyle w:val="Heading1"/>
        <w:spacing w:after="120" w:before="280"/>
      </w:pPr>
      <w:r>
        <w:rPr>
          <w:b/>
          <w:bCs/>
          <w:color w:val="1F1683"/>
        </w:rPr>
        <w:t xml:space="preserve">3. Welke gegevens verwerken wij?</w:t>
      </w:r>
    </w:p>
    <w:p>
      <w:pPr>
        <w:spacing w:after="120"/>
      </w:pPr>
      <w:r>
        <w:rPr>
          <w:color w:val="1E293B"/>
        </w:rPr>
        <w:t xml:space="preserve">Vita Health verwerkt uitsluitend gegevens die noodzakelijk zijn voor een veilige en zorgvuldige uitvoering van de biomarkertest.</w:t>
      </w:r>
    </w:p>
    <w:p>
      <w:pPr>
        <w:pStyle w:val="Heading2"/>
        <w:spacing w:after="80" w:before="180"/>
      </w:pPr>
      <w:r>
        <w:rPr>
          <w:b/>
          <w:bCs/>
          <w:color w:val="1E293B"/>
        </w:rPr>
        <w:t xml:space="preserve">Algemene persoonsgegevens</w:t>
      </w:r>
    </w:p>
    <w:p>
      <w:pPr>
        <w:pStyle w:val="ListParagraph"/>
        <w:numPr>
          <w:ilvl w:val="0"/>
          <w:numId w:val="1"/>
        </w:numPr>
        <w:spacing w:after="50"/>
      </w:pPr>
      <w:r>
        <w:rPr>
          <w:color w:val="1E293B"/>
        </w:rPr>
        <w:t xml:space="preserve">naam;</w:t>
      </w:r>
    </w:p>
    <w:p>
      <w:pPr>
        <w:pStyle w:val="ListParagraph"/>
        <w:numPr>
          <w:ilvl w:val="0"/>
          <w:numId w:val="1"/>
        </w:numPr>
        <w:spacing w:after="50"/>
      </w:pPr>
      <w:r>
        <w:rPr>
          <w:color w:val="1E293B"/>
        </w:rPr>
        <w:t xml:space="preserve">adresgegevens;</w:t>
      </w:r>
    </w:p>
    <w:p>
      <w:pPr>
        <w:pStyle w:val="ListParagraph"/>
        <w:numPr>
          <w:ilvl w:val="0"/>
          <w:numId w:val="1"/>
        </w:numPr>
        <w:spacing w:after="50"/>
      </w:pPr>
      <w:r>
        <w:rPr>
          <w:color w:val="1E293B"/>
        </w:rPr>
        <w:t xml:space="preserve">e-mailadres;</w:t>
      </w:r>
    </w:p>
    <w:p>
      <w:pPr>
        <w:pStyle w:val="ListParagraph"/>
        <w:numPr>
          <w:ilvl w:val="0"/>
          <w:numId w:val="1"/>
        </w:numPr>
        <w:spacing w:after="50"/>
      </w:pPr>
      <w:r>
        <w:rPr>
          <w:color w:val="1E293B"/>
        </w:rPr>
        <w:t xml:space="preserve">telefoonnummer;</w:t>
      </w:r>
    </w:p>
    <w:p>
      <w:pPr>
        <w:pStyle w:val="ListParagraph"/>
        <w:numPr>
          <w:ilvl w:val="0"/>
          <w:numId w:val="1"/>
        </w:numPr>
        <w:spacing w:after="50"/>
      </w:pPr>
      <w:r>
        <w:rPr>
          <w:color w:val="1E293B"/>
        </w:rPr>
        <w:t xml:space="preserve">geboortedatum;</w:t>
      </w:r>
    </w:p>
    <w:p>
      <w:pPr>
        <w:pStyle w:val="ListParagraph"/>
        <w:numPr>
          <w:ilvl w:val="0"/>
          <w:numId w:val="1"/>
        </w:numPr>
        <w:spacing w:after="50"/>
      </w:pPr>
      <w:r>
        <w:rPr>
          <w:color w:val="1E293B"/>
        </w:rPr>
        <w:t xml:space="preserve">geslacht;</w:t>
      </w:r>
    </w:p>
    <w:p>
      <w:pPr>
        <w:pStyle w:val="ListParagraph"/>
        <w:numPr>
          <w:ilvl w:val="0"/>
          <w:numId w:val="1"/>
        </w:numPr>
        <w:spacing w:after="50"/>
      </w:pPr>
      <w:r>
        <w:rPr>
          <w:color w:val="1E293B"/>
        </w:rPr>
        <w:t xml:space="preserve">deelnemernummer of participant-ID;</w:t>
      </w:r>
    </w:p>
    <w:p>
      <w:pPr>
        <w:pStyle w:val="ListParagraph"/>
        <w:numPr>
          <w:ilvl w:val="0"/>
          <w:numId w:val="1"/>
        </w:numPr>
        <w:spacing w:after="50"/>
      </w:pPr>
      <w:r>
        <w:rPr>
          <w:color w:val="1E293B"/>
        </w:rPr>
        <w:t xml:space="preserve">unieke samplecode;</w:t>
      </w:r>
    </w:p>
    <w:p>
      <w:pPr>
        <w:pStyle w:val="ListParagraph"/>
        <w:numPr>
          <w:ilvl w:val="0"/>
          <w:numId w:val="1"/>
        </w:numPr>
        <w:spacing w:after="50"/>
      </w:pPr>
      <w:r>
        <w:rPr>
          <w:color w:val="1E293B"/>
        </w:rPr>
        <w:t xml:space="preserve">datum van aanmelding.</w:t>
      </w:r>
    </w:p>
    <w:p>
      <w:pPr>
        <w:pStyle w:val="Heading2"/>
        <w:spacing w:after="80" w:before="180"/>
      </w:pPr>
      <w:r>
        <w:rPr>
          <w:b/>
          <w:bCs/>
          <w:color w:val="1E293B"/>
        </w:rPr>
        <w:t xml:space="preserve">Bestel- en betaalgegevens</w:t>
      </w:r>
    </w:p>
    <w:p>
      <w:pPr>
        <w:pStyle w:val="ListParagraph"/>
        <w:numPr>
          <w:ilvl w:val="0"/>
          <w:numId w:val="1"/>
        </w:numPr>
        <w:spacing w:after="50"/>
      </w:pPr>
      <w:r>
        <w:rPr>
          <w:color w:val="1E293B"/>
        </w:rPr>
        <w:t xml:space="preserve">bestelgegevens (gekozen test, datum, orderreferentie);</w:t>
      </w:r>
    </w:p>
    <w:p>
      <w:pPr>
        <w:pStyle w:val="ListParagraph"/>
        <w:numPr>
          <w:ilvl w:val="0"/>
          <w:numId w:val="1"/>
        </w:numPr>
        <w:spacing w:after="50"/>
      </w:pPr>
      <w:r>
        <w:rPr>
          <w:color w:val="1E293B"/>
        </w:rPr>
        <w:t xml:space="preserve">factuurgegevens (naam, adres, factuurnummer);</w:t>
      </w:r>
    </w:p>
    <w:p>
      <w:pPr>
        <w:pStyle w:val="ListParagraph"/>
        <w:numPr>
          <w:ilvl w:val="0"/>
          <w:numId w:val="1"/>
        </w:numPr>
        <w:spacing w:after="50"/>
      </w:pPr>
      <w:r>
        <w:rPr>
          <w:color w:val="1E293B"/>
        </w:rPr>
        <w:t xml:space="preserve">betaalstatus en eventuele restituties;</w:t>
      </w:r>
    </w:p>
    <w:p>
      <w:pPr>
        <w:pStyle w:val="ListParagraph"/>
        <w:numPr>
          <w:ilvl w:val="0"/>
          <w:numId w:val="1"/>
        </w:numPr>
        <w:spacing w:after="50"/>
      </w:pPr>
      <w:r>
        <w:rPr>
          <w:color w:val="1E293B"/>
        </w:rPr>
        <w:t xml:space="preserve">eventuele kortingscode of verwijzende partner.</w:t>
      </w:r>
    </w:p>
    <w:p>
      <w:pPr>
        <w:spacing w:after="120"/>
      </w:pPr>
      <w:r>
        <w:rPr>
          <w:color w:val="1E293B"/>
        </w:rPr>
        <w:t xml:space="preserve">Vita Health ontvangt of bewaart </w:t>
      </w:r>
      <w:r>
        <w:rPr>
          <w:b/>
          <w:bCs/>
          <w:color w:val="1E293B"/>
        </w:rPr>
        <w:t xml:space="preserve">geen rekeningnummers of betaalkaartgegevens</w:t>
      </w:r>
      <w:r>
        <w:rPr>
          <w:color w:val="1E293B"/>
        </w:rPr>
        <w:t xml:space="preserve">: de betaling verloopt rechtstreeks via betaaldienst Mollie (zie sectie 7).</w:t>
      </w:r>
    </w:p>
    <w:p>
      <w:pPr>
        <w:pStyle w:val="Heading2"/>
        <w:spacing w:after="80" w:before="180"/>
      </w:pPr>
      <w:r>
        <w:rPr>
          <w:b/>
          <w:bCs/>
          <w:color w:val="1E293B"/>
        </w:rPr>
        <w:t xml:space="preserve">Gezondheidsgegevens (bijzondere persoonsgegevens, art. 9 AVG)</w:t>
      </w:r>
    </w:p>
    <w:p>
      <w:pPr>
        <w:pStyle w:val="ListParagraph"/>
        <w:numPr>
          <w:ilvl w:val="0"/>
          <w:numId w:val="1"/>
        </w:numPr>
        <w:spacing w:after="50"/>
      </w:pPr>
      <w:r>
        <w:rPr>
          <w:color w:val="1E293B"/>
        </w:rPr>
        <w:t xml:space="preserve">antwoorden uit de gezondheids- en geschiktheidsvragenlijst;</w:t>
      </w:r>
    </w:p>
    <w:p>
      <w:pPr>
        <w:pStyle w:val="ListParagraph"/>
        <w:numPr>
          <w:ilvl w:val="0"/>
          <w:numId w:val="1"/>
        </w:numPr>
        <w:spacing w:after="50"/>
      </w:pPr>
      <w:r>
        <w:rPr>
          <w:color w:val="1E293B"/>
        </w:rPr>
        <w:t xml:space="preserve">informatie over eventuele contra-indicaties;</w:t>
      </w:r>
    </w:p>
    <w:p>
      <w:pPr>
        <w:pStyle w:val="ListParagraph"/>
        <w:numPr>
          <w:ilvl w:val="0"/>
          <w:numId w:val="1"/>
        </w:numPr>
        <w:spacing w:after="50"/>
      </w:pPr>
      <w:r>
        <w:rPr>
          <w:color w:val="1E293B"/>
        </w:rPr>
        <w:t xml:space="preserve">informatie over medicatie of relevante gezondheidsomstandigheden, voor zover u deze verstrekt;</w:t>
      </w:r>
    </w:p>
    <w:p>
      <w:pPr>
        <w:pStyle w:val="ListParagraph"/>
        <w:numPr>
          <w:ilvl w:val="0"/>
          <w:numId w:val="1"/>
        </w:numPr>
        <w:spacing w:after="50"/>
      </w:pPr>
      <w:r>
        <w:rPr>
          <w:color w:val="1E293B"/>
        </w:rPr>
        <w:t xml:space="preserve">datum van bloedafname;</w:t>
      </w:r>
    </w:p>
    <w:p>
      <w:pPr>
        <w:pStyle w:val="ListParagraph"/>
        <w:numPr>
          <w:ilvl w:val="0"/>
          <w:numId w:val="1"/>
        </w:numPr>
        <w:spacing w:after="50"/>
      </w:pPr>
      <w:r>
        <w:rPr>
          <w:color w:val="1E293B"/>
        </w:rPr>
        <w:t xml:space="preserve">biomarkerresultaten en risicoprofielen;</w:t>
      </w:r>
    </w:p>
    <w:p>
      <w:pPr>
        <w:pStyle w:val="ListParagraph"/>
        <w:numPr>
          <w:ilvl w:val="0"/>
          <w:numId w:val="1"/>
        </w:numPr>
        <w:spacing w:after="50"/>
      </w:pPr>
      <w:r>
        <w:rPr>
          <w:color w:val="1E293B"/>
        </w:rPr>
        <w:t xml:space="preserve">medische beoordeling van de uitslag;</w:t>
      </w:r>
    </w:p>
    <w:p>
      <w:pPr>
        <w:pStyle w:val="ListParagraph"/>
        <w:numPr>
          <w:ilvl w:val="0"/>
          <w:numId w:val="1"/>
        </w:numPr>
        <w:spacing w:after="50"/>
      </w:pPr>
      <w:r>
        <w:rPr>
          <w:color w:val="1E293B"/>
        </w:rPr>
        <w:t xml:space="preserve">eventuele vervolgstappen of adviezen.</w:t>
      </w:r>
    </w:p>
    <w:p>
      <w:pPr>
        <w:pStyle w:val="Heading2"/>
        <w:spacing w:after="80" w:before="180"/>
      </w:pPr>
      <w:r>
        <w:rPr>
          <w:b/>
          <w:bCs/>
          <w:color w:val="1E293B"/>
        </w:rPr>
        <w:t xml:space="preserve">Logistieke en procesgegevens</w:t>
      </w:r>
    </w:p>
    <w:p>
      <w:pPr>
        <w:pStyle w:val="ListParagraph"/>
        <w:numPr>
          <w:ilvl w:val="0"/>
          <w:numId w:val="1"/>
        </w:numPr>
        <w:spacing w:after="50"/>
      </w:pPr>
      <w:r>
        <w:rPr>
          <w:color w:val="1E293B"/>
        </w:rPr>
        <w:t xml:space="preserve">kitnummer, batchnummer en lotnummer;</w:t>
      </w:r>
    </w:p>
    <w:p>
      <w:pPr>
        <w:pStyle w:val="ListParagraph"/>
        <w:numPr>
          <w:ilvl w:val="0"/>
          <w:numId w:val="1"/>
        </w:numPr>
        <w:spacing w:after="50"/>
      </w:pPr>
      <w:r>
        <w:rPr>
          <w:color w:val="1E293B"/>
        </w:rPr>
        <w:t xml:space="preserve">vervaldatum van de kit;</w:t>
      </w:r>
    </w:p>
    <w:p>
      <w:pPr>
        <w:pStyle w:val="ListParagraph"/>
        <w:numPr>
          <w:ilvl w:val="0"/>
          <w:numId w:val="1"/>
        </w:numPr>
        <w:spacing w:after="50"/>
      </w:pPr>
      <w:r>
        <w:rPr>
          <w:color w:val="1E293B"/>
        </w:rPr>
        <w:t xml:space="preserve">status van verzending, analyse en rapportage;</w:t>
      </w:r>
    </w:p>
    <w:p>
      <w:pPr>
        <w:pStyle w:val="ListParagraph"/>
        <w:numPr>
          <w:ilvl w:val="0"/>
          <w:numId w:val="1"/>
        </w:numPr>
        <w:spacing w:after="50"/>
      </w:pPr>
      <w:r>
        <w:rPr>
          <w:color w:val="1E293B"/>
        </w:rPr>
        <w:t xml:space="preserve">eventuele opmerkingen over samplekwaliteit;</w:t>
      </w:r>
    </w:p>
    <w:p>
      <w:pPr>
        <w:pStyle w:val="ListParagraph"/>
        <w:numPr>
          <w:ilvl w:val="0"/>
          <w:numId w:val="1"/>
        </w:numPr>
        <w:spacing w:after="50"/>
      </w:pPr>
      <w:r>
        <w:rPr>
          <w:color w:val="1E293B"/>
        </w:rPr>
        <w:t xml:space="preserve">vragen of meldingen aan de helpdesk.</w:t>
      </w:r>
    </w:p>
    <w:p>
      <w:pPr>
        <w:pStyle w:val="Heading2"/>
        <w:spacing w:after="80" w:before="180"/>
      </w:pPr>
      <w:r>
        <w:rPr>
          <w:b/>
          <w:bCs/>
          <w:color w:val="1E293B"/>
        </w:rPr>
        <w:t xml:space="preserve">Toestemmingsregistratie</w:t>
      </w:r>
    </w:p>
    <w:p>
      <w:pPr>
        <w:pStyle w:val="ListParagraph"/>
        <w:numPr>
          <w:ilvl w:val="0"/>
          <w:numId w:val="1"/>
        </w:numPr>
        <w:spacing w:after="50"/>
      </w:pPr>
      <w:r>
        <w:rPr>
          <w:color w:val="1E293B"/>
        </w:rPr>
        <w:t xml:space="preserve">inhoud van de gegeven toestemming;</w:t>
      </w:r>
    </w:p>
    <w:p>
      <w:pPr>
        <w:pStyle w:val="ListParagraph"/>
        <w:numPr>
          <w:ilvl w:val="0"/>
          <w:numId w:val="1"/>
        </w:numPr>
        <w:spacing w:after="50"/>
      </w:pPr>
      <w:r>
        <w:rPr>
          <w:color w:val="1E293B"/>
        </w:rPr>
        <w:t xml:space="preserve">tijdstip van toestemming;</w:t>
      </w:r>
    </w:p>
    <w:p>
      <w:pPr>
        <w:pStyle w:val="ListParagraph"/>
        <w:numPr>
          <w:ilvl w:val="0"/>
          <w:numId w:val="1"/>
        </w:numPr>
        <w:spacing w:after="50"/>
      </w:pPr>
      <w:r>
        <w:rPr>
          <w:color w:val="1E293B"/>
        </w:rPr>
        <w:t xml:space="preserve">versie van het toestemmingsformulier.</w:t>
      </w:r>
    </w:p>
    <w:p>
      <w:pPr>
        <w:pStyle w:val="Heading2"/>
        <w:spacing w:after="80" w:before="180"/>
      </w:pPr>
      <w:r>
        <w:rPr>
          <w:b/>
          <w:bCs/>
          <w:color w:val="1E293B"/>
        </w:rPr>
        <w:t xml:space="preserve">Technische gegevens (bij gebruik van het online portaal)</w:t>
      </w:r>
    </w:p>
    <w:p>
      <w:pPr>
        <w:pStyle w:val="ListParagraph"/>
        <w:numPr>
          <w:ilvl w:val="0"/>
          <w:numId w:val="1"/>
        </w:numPr>
        <w:spacing w:after="50"/>
      </w:pPr>
      <w:r>
        <w:rPr>
          <w:color w:val="1E293B"/>
        </w:rPr>
        <w:t xml:space="preserve">IP-adres;</w:t>
      </w:r>
    </w:p>
    <w:p>
      <w:pPr>
        <w:pStyle w:val="ListParagraph"/>
        <w:numPr>
          <w:ilvl w:val="0"/>
          <w:numId w:val="1"/>
        </w:numPr>
        <w:spacing w:after="50"/>
      </w:pPr>
      <w:r>
        <w:rPr>
          <w:color w:val="1E293B"/>
        </w:rPr>
        <w:t xml:space="preserve">browsertype en apparaatinformatie;</w:t>
      </w:r>
    </w:p>
    <w:p>
      <w:pPr>
        <w:pStyle w:val="ListParagraph"/>
        <w:numPr>
          <w:ilvl w:val="0"/>
          <w:numId w:val="1"/>
        </w:numPr>
        <w:spacing w:after="50"/>
      </w:pPr>
      <w:r>
        <w:rPr>
          <w:color w:val="1E293B"/>
        </w:rPr>
        <w:t xml:space="preserve">sessie- en inloggegevens.</w:t>
      </w:r>
    </w:p>
    <w:p>
      <w:pPr>
        <w:pStyle w:val="Heading1"/>
        <w:spacing w:after="120" w:before="280"/>
      </w:pPr>
      <w:r>
        <w:rPr>
          <w:b/>
          <w:bCs/>
          <w:color w:val="1F1683"/>
        </w:rPr>
        <w:t xml:space="preserve">4. Waarom verwerken wij uw gegevens?</w:t>
      </w:r>
    </w:p>
    <w:p>
      <w:pPr>
        <w:spacing w:after="120"/>
      </w:pPr>
      <w:r>
        <w:rPr>
          <w:color w:val="1E293B"/>
        </w:rPr>
        <w:t xml:space="preserve">Vita Health verwerkt uw gegevens uitsluitend voor de volgende doelen:</w:t>
      </w:r>
    </w:p>
    <w:p>
      <w:pPr>
        <w:pStyle w:val="ListParagraph"/>
        <w:numPr>
          <w:ilvl w:val="0"/>
          <w:numId w:val="1"/>
        </w:numPr>
        <w:spacing w:after="50"/>
      </w:pPr>
      <w:r>
        <w:rPr>
          <w:color w:val="1E293B"/>
        </w:rPr>
        <w:t xml:space="preserve">registratie van uw deelname en controle op geschiktheid;</w:t>
      </w:r>
    </w:p>
    <w:p>
      <w:pPr>
        <w:pStyle w:val="ListParagraph"/>
        <w:numPr>
          <w:ilvl w:val="0"/>
          <w:numId w:val="1"/>
        </w:numPr>
        <w:spacing w:after="50"/>
      </w:pPr>
      <w:r>
        <w:rPr>
          <w:color w:val="1E293B"/>
        </w:rPr>
        <w:t xml:space="preserve">verwerking van uw bestelling, betaling en facturatie;</w:t>
      </w:r>
    </w:p>
    <w:p>
      <w:pPr>
        <w:pStyle w:val="ListParagraph"/>
        <w:numPr>
          <w:ilvl w:val="0"/>
          <w:numId w:val="1"/>
        </w:numPr>
        <w:spacing w:after="50"/>
      </w:pPr>
      <w:r>
        <w:rPr>
          <w:color w:val="1E293B"/>
        </w:rPr>
        <w:t xml:space="preserve">koppeling van uw sample aan uw deelname;</w:t>
      </w:r>
    </w:p>
    <w:p>
      <w:pPr>
        <w:pStyle w:val="ListParagraph"/>
        <w:numPr>
          <w:ilvl w:val="0"/>
          <w:numId w:val="1"/>
        </w:numPr>
        <w:spacing w:after="50"/>
      </w:pPr>
      <w:r>
        <w:rPr>
          <w:color w:val="1E293B"/>
        </w:rPr>
        <w:t xml:space="preserve">verstrekking en verzending van de bloedafnamekit;</w:t>
      </w:r>
    </w:p>
    <w:p>
      <w:pPr>
        <w:pStyle w:val="ListParagraph"/>
        <w:numPr>
          <w:ilvl w:val="0"/>
          <w:numId w:val="1"/>
        </w:numPr>
        <w:spacing w:after="50"/>
      </w:pPr>
      <w:r>
        <w:rPr>
          <w:color w:val="1E293B"/>
        </w:rPr>
        <w:t xml:space="preserve">analyse van de sample door Nightingale Health;</w:t>
      </w:r>
    </w:p>
    <w:p>
      <w:pPr>
        <w:pStyle w:val="ListParagraph"/>
        <w:numPr>
          <w:ilvl w:val="0"/>
          <w:numId w:val="1"/>
        </w:numPr>
        <w:spacing w:after="50"/>
      </w:pPr>
      <w:r>
        <w:rPr>
          <w:color w:val="1E293B"/>
        </w:rPr>
        <w:t xml:space="preserve">medische beoordeling en terugkoppeling van de uitslag;</w:t>
      </w:r>
    </w:p>
    <w:p>
      <w:pPr>
        <w:pStyle w:val="ListParagraph"/>
        <w:numPr>
          <w:ilvl w:val="0"/>
          <w:numId w:val="1"/>
        </w:numPr>
        <w:spacing w:after="50"/>
      </w:pPr>
      <w:r>
        <w:rPr>
          <w:color w:val="1E293B"/>
        </w:rPr>
        <w:t xml:space="preserve">het opstellen van een persoonlijk conceptadvies ter ondersteuning van de medisch deskundige (zie sectie 8);</w:t>
      </w:r>
    </w:p>
    <w:p>
      <w:pPr>
        <w:pStyle w:val="ListParagraph"/>
        <w:numPr>
          <w:ilvl w:val="0"/>
          <w:numId w:val="1"/>
        </w:numPr>
        <w:spacing w:after="50"/>
      </w:pPr>
      <w:r>
        <w:rPr>
          <w:color w:val="1E293B"/>
        </w:rPr>
        <w:t xml:space="preserve">contact over uw deelname, sample of uitslag;</w:t>
      </w:r>
    </w:p>
    <w:p>
      <w:pPr>
        <w:pStyle w:val="ListParagraph"/>
        <w:numPr>
          <w:ilvl w:val="0"/>
          <w:numId w:val="1"/>
        </w:numPr>
        <w:spacing w:after="50"/>
      </w:pPr>
      <w:r>
        <w:rPr>
          <w:color w:val="1E293B"/>
        </w:rPr>
        <w:t xml:space="preserve">behandeling van vragen, klachten of incidenten;</w:t>
      </w:r>
    </w:p>
    <w:p>
      <w:pPr>
        <w:pStyle w:val="ListParagraph"/>
        <w:numPr>
          <w:ilvl w:val="0"/>
          <w:numId w:val="1"/>
        </w:numPr>
        <w:spacing w:after="50"/>
      </w:pPr>
      <w:r>
        <w:rPr>
          <w:color w:val="1E293B"/>
        </w:rPr>
        <w:t xml:space="preserve">evaluatie van de kwaliteit, veiligheid en uitvoerbaarheid van het proces;</w:t>
      </w:r>
    </w:p>
    <w:p>
      <w:pPr>
        <w:pStyle w:val="ListParagraph"/>
        <w:numPr>
          <w:ilvl w:val="0"/>
          <w:numId w:val="1"/>
        </w:numPr>
        <w:spacing w:after="50"/>
      </w:pPr>
      <w:r>
        <w:rPr>
          <w:color w:val="1E293B"/>
        </w:rPr>
        <w:t xml:space="preserve">voldoen aan wettelijke verplichtingen op het gebied van kwaliteit, veiligheid, administratie en fiscale bewaarplicht.</w:t>
      </w:r>
    </w:p>
    <w:p>
      <w:pPr>
        <w:spacing w:after="120"/>
      </w:pPr>
      <w:r>
        <w:rPr>
          <w:color w:val="1E293B"/>
        </w:rPr>
        <w:t xml:space="preserve">Uw gegevens worden niet verkocht aan derden en niet gebruikt voor commerciële doeleinden zonder uw aparte toestemming.</w:t>
      </w:r>
    </w:p>
    <w:p>
      <w:pPr>
        <w:pStyle w:val="Heading1"/>
        <w:spacing w:after="120" w:before="280"/>
      </w:pPr>
      <w:r>
        <w:rPr>
          <w:b/>
          <w:bCs/>
          <w:color w:val="1F1683"/>
        </w:rPr>
        <w:t xml:space="preserve">5. Op welke grondslag verwerken wij uw gegevens?</w:t>
      </w:r>
    </w:p>
    <w:p>
      <w:pPr>
        <w:spacing w:after="120"/>
      </w:pPr>
      <w:r>
        <w:rPr>
          <w:color w:val="1E293B"/>
        </w:rPr>
        <w:t xml:space="preserve">Vita Health verwerkt uw gegevens alleen wanneer daarvoor een geldige juridische grondslag bestaat.</w:t>
      </w:r>
    </w:p>
    <w:p>
      <w:pPr>
        <w:pStyle w:val="Heading2"/>
        <w:spacing w:after="80" w:before="180"/>
      </w:pPr>
      <w:r>
        <w:rPr>
          <w:b/>
          <w:bCs/>
          <w:color w:val="1E293B"/>
        </w:rPr>
        <w:t xml:space="preserve">Gewone persoonsgegevens — artikel 6 AVG</w:t>
      </w:r>
    </w:p>
    <w:p>
      <w:pPr>
        <w:pStyle w:val="ListParagraph"/>
        <w:numPr>
          <w:ilvl w:val="0"/>
          <w:numId w:val="1"/>
        </w:numPr>
        <w:spacing w:after="50"/>
      </w:pPr>
      <w:r>
        <w:rPr>
          <w:b/>
          <w:bCs/>
          <w:color w:val="1E293B"/>
        </w:rPr>
        <w:t xml:space="preserve">Uw toestemming</w:t>
      </w:r>
      <w:r>
        <w:rPr>
          <w:color w:val="1E293B"/>
        </w:rPr>
        <w:t xml:space="preserve"> (art. 6 lid 1a): voor registratie van uw deelname en communicatie.</w:t>
      </w:r>
    </w:p>
    <w:p>
      <w:pPr>
        <w:pStyle w:val="ListParagraph"/>
        <w:numPr>
          <w:ilvl w:val="0"/>
          <w:numId w:val="1"/>
        </w:numPr>
        <w:spacing w:after="50"/>
      </w:pPr>
      <w:r>
        <w:rPr>
          <w:b/>
          <w:bCs/>
          <w:color w:val="1E293B"/>
        </w:rPr>
        <w:t xml:space="preserve">Uitvoering van een overeenkomst</w:t>
      </w:r>
      <w:r>
        <w:rPr>
          <w:color w:val="1E293B"/>
        </w:rPr>
        <w:t xml:space="preserve"> (art. 6 lid 1b): voor uw bestelling, de betaling en de uitvoering van het testproces waarvoor u zich heeft aangemeld.</w:t>
      </w:r>
    </w:p>
    <w:p>
      <w:pPr>
        <w:pStyle w:val="ListParagraph"/>
        <w:numPr>
          <w:ilvl w:val="0"/>
          <w:numId w:val="1"/>
        </w:numPr>
        <w:spacing w:after="50"/>
      </w:pPr>
      <w:r>
        <w:rPr>
          <w:b/>
          <w:bCs/>
          <w:color w:val="1E293B"/>
        </w:rPr>
        <w:t xml:space="preserve">Wettelijke verplichting</w:t>
      </w:r>
      <w:r>
        <w:rPr>
          <w:color w:val="1E293B"/>
        </w:rPr>
        <w:t xml:space="preserve"> (art. 6 lid 1c): voor verplichte administratie, kwaliteit en veiligheid, waaronder de fiscale bewaarplicht voor facturen.</w:t>
      </w:r>
    </w:p>
    <w:p>
      <w:pPr>
        <w:pStyle w:val="Heading2"/>
        <w:spacing w:after="80" w:before="180"/>
      </w:pPr>
      <w:r>
        <w:rPr>
          <w:b/>
          <w:bCs/>
          <w:color w:val="1E293B"/>
        </w:rPr>
        <w:t xml:space="preserve">Gezondheidsgegevens (bijzondere persoonsgegevens) — artikel 9 AVG</w:t>
      </w:r>
    </w:p>
    <w:p>
      <w:pPr>
        <w:pStyle w:val="ListParagraph"/>
        <w:numPr>
          <w:ilvl w:val="0"/>
          <w:numId w:val="1"/>
        </w:numPr>
        <w:spacing w:after="50"/>
      </w:pPr>
      <w:r>
        <w:rPr>
          <w:b/>
          <w:bCs/>
          <w:color w:val="1E293B"/>
        </w:rPr>
        <w:t xml:space="preserve">Uitdrukkelijke toestemming</w:t>
      </w:r>
      <w:r>
        <w:rPr>
          <w:color w:val="1E293B"/>
        </w:rPr>
        <w:t xml:space="preserve"> (art. 9 lid 2a): u heeft uitdrukkelijk toestemming gegeven voor verwerking van uw gezondheidsgegevens voor de biomarkertest.</w:t>
      </w:r>
    </w:p>
    <w:p>
      <w:pPr>
        <w:pStyle w:val="ListParagraph"/>
        <w:numPr>
          <w:ilvl w:val="0"/>
          <w:numId w:val="1"/>
        </w:numPr>
        <w:spacing w:after="50"/>
      </w:pPr>
      <w:r>
        <w:rPr>
          <w:b/>
          <w:bCs/>
          <w:color w:val="1E293B"/>
        </w:rPr>
        <w:t xml:space="preserve">Preventieve geneeskunde</w:t>
      </w:r>
      <w:r>
        <w:rPr>
          <w:color w:val="1E293B"/>
        </w:rPr>
        <w:t xml:space="preserve"> (art. 9 lid 2h, indien van toepassing): voor beoordeling door de medisch deskundige.</w:t>
      </w:r>
    </w:p>
    <w:p>
      <w:pPr>
        <w:spacing w:after="120"/>
      </w:pPr>
      <w:r>
        <w:rPr>
          <w:color w:val="1E293B"/>
        </w:rPr>
        <w:t xml:space="preserve">U kunt uw toestemming op elk moment intrekken (zie sectie 15). Intrekking heeft geen terugwerkende kracht: verwerkingen die al rechtmatig hebben plaatsgevonden vóór intrekking blijven geldig.</w:t>
      </w:r>
    </w:p>
    <w:p>
      <w:pPr>
        <w:pStyle w:val="Heading1"/>
        <w:spacing w:after="120" w:before="280"/>
      </w:pPr>
      <w:r>
        <w:rPr>
          <w:b/>
          <w:bCs/>
          <w:color w:val="1F1683"/>
        </w:rPr>
        <w:t xml:space="preserve">6. Welke gegevens delen wij met Nightingale Health?</w:t>
      </w:r>
    </w:p>
    <w:p>
      <w:pPr>
        <w:spacing w:after="120"/>
      </w:pPr>
      <w:r>
        <w:rPr>
          <w:color w:val="1E293B"/>
        </w:rPr>
        <w:t xml:space="preserve">Voor analyse van uw sample deelt Vita Health de volgende gegevens met Nightingale Health Plc:</w:t>
      </w:r>
    </w:p>
    <w:p>
      <w:pPr>
        <w:pStyle w:val="ListParagraph"/>
        <w:numPr>
          <w:ilvl w:val="0"/>
          <w:numId w:val="1"/>
        </w:numPr>
        <w:spacing w:after="50"/>
      </w:pPr>
      <w:r>
        <w:rPr>
          <w:color w:val="1E293B"/>
        </w:rPr>
        <w:t xml:space="preserve">unieke samplecode;</w:t>
      </w:r>
    </w:p>
    <w:p>
      <w:pPr>
        <w:pStyle w:val="ListParagraph"/>
        <w:numPr>
          <w:ilvl w:val="0"/>
          <w:numId w:val="1"/>
        </w:numPr>
        <w:spacing w:after="50"/>
      </w:pPr>
      <w:r>
        <w:rPr>
          <w:color w:val="1E293B"/>
        </w:rPr>
        <w:t xml:space="preserve">een pseudoniem deelnemer-ID (geen naam);</w:t>
      </w:r>
    </w:p>
    <w:p>
      <w:pPr>
        <w:pStyle w:val="ListParagraph"/>
        <w:numPr>
          <w:ilvl w:val="0"/>
          <w:numId w:val="1"/>
        </w:numPr>
        <w:spacing w:after="50"/>
      </w:pPr>
      <w:r>
        <w:rPr>
          <w:color w:val="1E293B"/>
        </w:rPr>
        <w:t xml:space="preserve">datum van bloedafname;</w:t>
      </w:r>
    </w:p>
    <w:p>
      <w:pPr>
        <w:pStyle w:val="ListParagraph"/>
        <w:numPr>
          <w:ilvl w:val="0"/>
          <w:numId w:val="1"/>
        </w:numPr>
        <w:spacing w:after="50"/>
      </w:pPr>
      <w:r>
        <w:rPr>
          <w:color w:val="1E293B"/>
        </w:rPr>
        <w:t xml:space="preserve">geboortedatum;</w:t>
      </w:r>
    </w:p>
    <w:p>
      <w:pPr>
        <w:pStyle w:val="ListParagraph"/>
        <w:numPr>
          <w:ilvl w:val="0"/>
          <w:numId w:val="1"/>
        </w:numPr>
        <w:spacing w:after="50"/>
      </w:pPr>
      <w:r>
        <w:rPr>
          <w:color w:val="1E293B"/>
        </w:rPr>
        <w:t xml:space="preserve">geslacht.</w:t>
      </w:r>
    </w:p>
    <w:p>
      <w:pPr>
        <w:spacing w:after="120"/>
      </w:pPr>
      <w:r>
        <w:rPr>
          <w:color w:val="1E293B"/>
        </w:rPr>
        <w:t xml:space="preserve">Vita Health gebruikt de samplecode en het pseudonieme ID om te zorgen dat Nightingale Health zo min mogelijk directe persoonsgegevens ontvangt (pseudonimisering). Nightingale Health levert de resultaten via een beveiligde gegevensoverdracht terug aan Vita Health.</w:t>
      </w:r>
    </w:p>
    <w:p>
      <w:pPr>
        <w:spacing w:after="120"/>
      </w:pPr>
      <w:r>
        <w:rPr>
          <w:color w:val="1E293B"/>
        </w:rPr>
        <w:t xml:space="preserve">Nightingale Health Plc is gevestigd in Helsinki, Finland, en valt daarmee binnen de Europese Economische Ruimte. Er is geen sprake van doorgifte van persoonsgegevens buiten de EER door het laboratorium.</w:t>
      </w:r>
    </w:p>
    <w:tbl>
      <w:tblPr>
        <w:tblW w:type="dxa" w:w="9300"/>
        <w:tblBorders>
          <w:top w:val="single" w:color="CA8A04" w:sz="4"/>
          <w:left w:val="single" w:color="CA8A04" w:sz="12"/>
          <w:bottom w:val="single" w:color="CA8A04" w:sz="4"/>
          <w:right w:val="single" w:color="CA8A04" w:sz="4"/>
          <w:insideH w:val="single" w:color="CA8A04" w:sz="4"/>
          <w:insideV w:val="single" w:color="CA8A04" w:sz="4"/>
        </w:tblBorders>
      </w:tblPr>
      <w:tblGrid>
        <w:gridCol w:w="9300"/>
      </w:tblGrid>
      <w:tr>
        <w:tc>
          <w:tcPr>
            <w:tcW w:type="dxa" w:w="9300"/>
            <w:shd w:fill="FEF9C3" w:color="auto" w:val="clear"/>
            <w:tcMar>
              <w:top w:type="dxa" w:w="90"/>
              <w:left w:type="dxa" w:w="150"/>
              <w:bottom w:type="dxa" w:w="90"/>
              <w:right w:type="dxa" w:w="130"/>
            </w:tcMar>
          </w:tcPr>
          <w:p>
            <w:pPr>
              <w:spacing w:after="0"/>
            </w:pPr>
            <w:r>
              <w:rPr>
                <w:b/>
                <w:bCs/>
                <w:color w:val="854D0E"/>
                <w:sz w:val="18"/>
                <w:szCs w:val="18"/>
              </w:rPr>
              <w:t xml:space="preserve">REDACTIENOOT — </w:t>
            </w:r>
            <w:r>
              <w:rPr>
                <w:color w:val="1E293B"/>
              </w:rPr>
              <w:t xml:space="preserve">Stem de opsomming af met de deelnemersinformatie: die spreekt van "leeftijd en geslacht", dit document van "geboortedatum". Het platform exporteert geboortedatum + geslacht + samplecode + pseudoniem Subject-ID. Kies één formulering en gebruik die in beide documenten.</w:t>
            </w:r>
          </w:p>
        </w:tc>
      </w:tr>
    </w:tbl>
    <w:p>
      <w:pPr>
        <w:pStyle w:val="Heading1"/>
        <w:spacing w:after="120" w:before="280"/>
      </w:pPr>
      <w:r>
        <w:rPr>
          <w:b/>
          <w:bCs/>
          <w:color w:val="1F1683"/>
        </w:rPr>
        <w:t xml:space="preserve">7. Betaling en facturatie</w:t>
      </w:r>
    </w:p>
    <w:p>
      <w:pPr>
        <w:spacing w:after="120"/>
      </w:pPr>
      <w:r>
        <w:rPr>
          <w:color w:val="1E293B"/>
        </w:rPr>
        <w:t xml:space="preserve">U rekent uw bestelling rechtstreeks af bij </w:t>
      </w:r>
      <w:r>
        <w:rPr>
          <w:b/>
          <w:bCs/>
          <w:color w:val="1E293B"/>
        </w:rPr>
        <w:t xml:space="preserve">Mollie</w:t>
      </w:r>
      <w:r>
        <w:rPr>
          <w:color w:val="1E293B"/>
        </w:rPr>
        <w:t xml:space="preserve">, een vergunninghoudende betaaldienstverlener. Mollie is voor de betaalverwerking zelfstandig verwerkingsverantwoordelijke; Vita Health deelt geen naam of e-mailadres met Mollie en ontvangt van Mollie alleen de status van uw betaling. Op de verwerking door Mollie is de privacyverklaring van Mollie van toepassing.</w:t>
      </w:r>
    </w:p>
    <w:p>
      <w:pPr>
        <w:spacing w:after="120"/>
      </w:pPr>
      <w:r>
        <w:rPr>
          <w:color w:val="1E293B"/>
        </w:rPr>
        <w:t xml:space="preserve">Vita Health maakt voor uw bestelling een factuur op met uw naam- en adresgegevens. Facturen en de bijbehorende betaaladministratie bewaren wij 7 jaar op grond van de fiscale bewaarplicht — ook als u uw overige gegevens laat verwijderen.</w:t>
      </w:r>
    </w:p>
    <w:p>
      <w:pPr>
        <w:pStyle w:val="Heading1"/>
        <w:spacing w:after="120" w:before="280"/>
      </w:pPr>
      <w:r>
        <w:rPr>
          <w:b/>
          <w:bCs/>
          <w:color w:val="1F1683"/>
        </w:rPr>
        <w:t xml:space="preserve">8. Worden uw gegevens gebruikt voor onderzoek, profilering of AI?</w:t>
      </w:r>
    </w:p>
    <w:p>
      <w:pPr>
        <w:spacing w:after="120"/>
      </w:pPr>
      <w:r>
        <w:rPr>
          <w:color w:val="1E293B"/>
        </w:rPr>
        <w:t xml:space="preserve">De biomarkertest is geen wetenschappelijk onderzoek. Vita Health kan geaggregeerde of niet-herleidbare gegevens gebruiken om de kwaliteit en uitvoerbaarheid van het proces te evalueren. Hierbij worden geen individuele deelnemers geïdentificeerd.</w:t>
      </w:r>
    </w:p>
    <w:p>
      <w:pPr>
        <w:spacing w:after="120"/>
      </w:pPr>
      <w:r>
        <w:rPr>
          <w:color w:val="1E293B"/>
        </w:rPr>
        <w:t xml:space="preserve">Als Vita Health in een latere fase gegevens wil gebruiken voor wetenschappelijk onderzoek, worden deelnemers hierover apart geïnformeerd en — indien vereist — apart om toestemming gevraagd.</w:t>
      </w:r>
    </w:p>
    <w:p>
      <w:pPr>
        <w:pStyle w:val="Heading2"/>
        <w:spacing w:after="80" w:before="180"/>
      </w:pPr>
      <w:r>
        <w:rPr>
          <w:b/>
          <w:bCs/>
          <w:color w:val="1E293B"/>
        </w:rPr>
        <w:t xml:space="preserve">AI-ondersteund conceptadvies</w:t>
      </w:r>
    </w:p>
    <w:p>
      <w:pPr>
        <w:spacing w:after="120"/>
      </w:pPr>
      <w:r>
        <w:rPr>
          <w:color w:val="1E293B"/>
        </w:rPr>
        <w:t xml:space="preserve">Vita Health kan bij het opstellen van uw persoonlijke terugkoppeling gebruikmaken van een AI-hulpmiddel dat een </w:t>
      </w:r>
      <w:r>
        <w:rPr>
          <w:b/>
          <w:bCs/>
          <w:color w:val="1E293B"/>
        </w:rPr>
        <w:t xml:space="preserve">conceptadvies</w:t>
      </w:r>
      <w:r>
        <w:rPr>
          <w:color w:val="1E293B"/>
        </w:rPr>
        <w:t xml:space="preserve"> genereert. Daarbij geldt:</w:t>
      </w:r>
    </w:p>
    <w:p>
      <w:pPr>
        <w:pStyle w:val="ListParagraph"/>
        <w:numPr>
          <w:ilvl w:val="0"/>
          <w:numId w:val="1"/>
        </w:numPr>
        <w:spacing w:after="50"/>
      </w:pPr>
      <w:r>
        <w:rPr>
          <w:color w:val="1E293B"/>
        </w:rPr>
        <w:t xml:space="preserve">het AI-hulpmiddel ontvangt uitsluitend pseudonieme gegevens (leeftijd, geslacht, vragenlijstantwoorden en biomarkerwaarden) — </w:t>
      </w:r>
      <w:r>
        <w:rPr>
          <w:b/>
          <w:bCs/>
          <w:color w:val="1E293B"/>
        </w:rPr>
        <w:t xml:space="preserve">nooit uw naam of contactgegevens</w:t>
      </w:r>
      <w:r>
        <w:rPr>
          <w:color w:val="1E293B"/>
        </w:rPr>
        <w:t xml:space="preserve">;</w:t>
      </w:r>
    </w:p>
    <w:p>
      <w:pPr>
        <w:pStyle w:val="ListParagraph"/>
        <w:numPr>
          <w:ilvl w:val="0"/>
          <w:numId w:val="1"/>
        </w:numPr>
        <w:spacing w:after="50"/>
      </w:pPr>
      <w:r>
        <w:rPr>
          <w:color w:val="1E293B"/>
        </w:rPr>
        <w:t xml:space="preserve">de verwerking vindt plaats binnen de EU, op basis van een verwerkersovereenkomst; de AI-dienstverlener bewaart uw gegevens niet na de verwerking en gebruikt ze niet om AI-modellen te trainen;</w:t>
      </w:r>
    </w:p>
    <w:p>
      <w:pPr>
        <w:pStyle w:val="ListParagraph"/>
        <w:numPr>
          <w:ilvl w:val="0"/>
          <w:numId w:val="1"/>
        </w:numPr>
        <w:spacing w:after="50"/>
      </w:pPr>
      <w:r>
        <w:rPr>
          <w:color w:val="1E293B"/>
        </w:rPr>
        <w:t xml:space="preserve">een medisch deskundige beoordeelt het conceptadvies altijd en stelt de definitieve terugkoppeling vast — u ontvangt nooit een uitsluitend geautomatiseerd advies.</w:t>
      </w:r>
    </w:p>
    <w:p>
      <w:pPr>
        <w:pStyle w:val="Heading2"/>
        <w:spacing w:after="80" w:before="180"/>
      </w:pPr>
      <w:r>
        <w:rPr>
          <w:b/>
          <w:bCs/>
          <w:color w:val="1E293B"/>
        </w:rPr>
        <w:t xml:space="preserve">Geautomatiseerde besluitvorming (art. 22 AVG)</w:t>
      </w:r>
    </w:p>
    <w:p>
      <w:pPr>
        <w:spacing w:after="120"/>
      </w:pPr>
      <w:r>
        <w:rPr>
          <w:color w:val="1E293B"/>
        </w:rPr>
        <w:t xml:space="preserve">De biomarkertest genereert een risicoprofiel op basis van uw biomarkerwaarden. Dit profiel wordt altijd beoordeeld door een medisch deskundige voordat u terugkoppeling ontvangt. Er worden geen rechtsgevolgen verbonden aan uitsluitend geautomatiseerde beslissingen.</w:t>
      </w:r>
    </w:p>
    <w:p>
      <w:pPr>
        <w:pStyle w:val="Heading1"/>
        <w:spacing w:after="120" w:before="280"/>
      </w:pPr>
      <w:r>
        <w:rPr>
          <w:b/>
          <w:bCs/>
          <w:color w:val="1F1683"/>
        </w:rPr>
        <w:t xml:space="preserve">9. Wie kan toegang krijgen tot uw gegevens?</w:t>
      </w:r>
    </w:p>
    <w:p>
      <w:pPr>
        <w:spacing w:after="120"/>
      </w:pPr>
      <w:r>
        <w:rPr>
          <w:color w:val="1E293B"/>
        </w:rPr>
        <w:t xml:space="preserve">Uw gegevens zijn alleen toegankelijk voor:</w:t>
      </w:r>
    </w:p>
    <w:p>
      <w:pPr>
        <w:pStyle w:val="ListParagraph"/>
        <w:numPr>
          <w:ilvl w:val="0"/>
          <w:numId w:val="1"/>
        </w:numPr>
        <w:spacing w:after="50"/>
      </w:pPr>
      <w:r>
        <w:rPr>
          <w:color w:val="1E293B"/>
        </w:rPr>
        <w:t xml:space="preserve">medewerkers van Vita Health die betrokken zijn bij de uitvoering van het testproces;</w:t>
      </w:r>
    </w:p>
    <w:p>
      <w:pPr>
        <w:pStyle w:val="ListParagraph"/>
        <w:numPr>
          <w:ilvl w:val="0"/>
          <w:numId w:val="1"/>
        </w:numPr>
        <w:spacing w:after="50"/>
      </w:pPr>
      <w:r>
        <w:rPr>
          <w:color w:val="1E293B"/>
        </w:rPr>
        <w:t xml:space="preserve">de betrokken medisch deskundige(n) voor beoordeling en terugkoppeling van de uitslag;</w:t>
      </w:r>
    </w:p>
    <w:p>
      <w:pPr>
        <w:pStyle w:val="ListParagraph"/>
        <w:numPr>
          <w:ilvl w:val="0"/>
          <w:numId w:val="1"/>
        </w:numPr>
        <w:spacing w:after="50"/>
      </w:pPr>
      <w:r>
        <w:rPr>
          <w:color w:val="1E293B"/>
        </w:rPr>
        <w:t xml:space="preserve">Nightingale Health Plc voor analyse van de sample en opstelling van de rapportage;</w:t>
      </w:r>
    </w:p>
    <w:p>
      <w:pPr>
        <w:pStyle w:val="ListParagraph"/>
        <w:numPr>
          <w:ilvl w:val="0"/>
          <w:numId w:val="1"/>
        </w:numPr>
        <w:spacing w:after="50"/>
      </w:pPr>
      <w:r>
        <w:rPr>
          <w:color w:val="1E293B"/>
        </w:rPr>
        <w:t xml:space="preserve">IT- en hostingdienstverleners voor het beveiligd beheer van het digitale platform, op basis van een verwerkersovereenkomst — hosting vindt plaats in Nederland, de database staat binnen de EU;</w:t>
      </w:r>
    </w:p>
    <w:p>
      <w:pPr>
        <w:pStyle w:val="ListParagraph"/>
        <w:numPr>
          <w:ilvl w:val="0"/>
          <w:numId w:val="1"/>
        </w:numPr>
        <w:spacing w:after="50"/>
      </w:pPr>
      <w:r>
        <w:rPr>
          <w:color w:val="1E293B"/>
        </w:rPr>
        <w:t xml:space="preserve">e-maildienstverleners: uw uitslag ontvangt u via beveiligde e-mail (NTA 7516-gecertificeerde dienst); overige servicemail loopt via een transactionele e-maildienst op basis van een verwerkersovereenkomst met EU-modelcontractbepalingen;</w:t>
      </w:r>
    </w:p>
    <w:p>
      <w:pPr>
        <w:pStyle w:val="ListParagraph"/>
        <w:numPr>
          <w:ilvl w:val="0"/>
          <w:numId w:val="1"/>
        </w:numPr>
        <w:spacing w:after="50"/>
      </w:pPr>
      <w:r>
        <w:rPr>
          <w:color w:val="1E293B"/>
        </w:rPr>
        <w:t xml:space="preserve">postbedrijven en logistieke dienstverleners voor verzending van de kit (uitsluitend naam- en adresgegevens); zij zijn voor de bezorging zelfstandig verwerkingsverantwoordelijke;</w:t>
      </w:r>
    </w:p>
    <w:p>
      <w:pPr>
        <w:pStyle w:val="ListParagraph"/>
        <w:numPr>
          <w:ilvl w:val="0"/>
          <w:numId w:val="1"/>
        </w:numPr>
        <w:spacing w:after="50"/>
      </w:pPr>
      <w:r>
        <w:rPr>
          <w:color w:val="1E293B"/>
        </w:rPr>
        <w:t xml:space="preserve">betaaldienst Mollie voor de afhandeling van uw betaling (zie sectie 7);</w:t>
      </w:r>
    </w:p>
    <w:p>
      <w:pPr>
        <w:pStyle w:val="ListParagraph"/>
        <w:numPr>
          <w:ilvl w:val="0"/>
          <w:numId w:val="1"/>
        </w:numPr>
        <w:spacing w:after="50"/>
      </w:pPr>
      <w:r>
        <w:rPr>
          <w:color w:val="1E293B"/>
        </w:rPr>
        <w:t xml:space="preserve">bevoegde instanties als Vita Health wettelijk verplicht is gegevens te verstrekken.</w:t>
      </w:r>
    </w:p>
    <w:p>
      <w:pPr>
        <w:spacing w:after="120"/>
      </w:pPr>
      <w:r>
        <w:rPr>
          <w:color w:val="1E293B"/>
        </w:rPr>
        <w:t xml:space="preserve">Alle betrokken partijen zijn gehouden aan vertrouwelijkheid en verwerken uw gegevens uitsluitend voor het overeengekomen doel. Vita Health houdt intern een register bij van alle verwerkers en hun subverwerkers, inclusief de afgesloten verwerkersovereenkomsten.</w:t>
      </w:r>
    </w:p>
    <w:p>
      <w:pPr>
        <w:pStyle w:val="Heading1"/>
        <w:spacing w:after="120" w:before="280"/>
      </w:pPr>
      <w:r>
        <w:rPr>
          <w:b/>
          <w:bCs/>
          <w:color w:val="1F1683"/>
        </w:rPr>
        <w:t xml:space="preserve">10. Gebruik van individuele resultaten</w:t>
      </w:r>
    </w:p>
    <w:p>
      <w:pPr>
        <w:spacing w:after="120"/>
      </w:pPr>
      <w:r>
        <w:rPr>
          <w:color w:val="1E293B"/>
        </w:rPr>
        <w:t xml:space="preserve">Uw individuele resultaten worden uitsluitend gebruikt voor:</w:t>
      </w:r>
    </w:p>
    <w:p>
      <w:pPr>
        <w:pStyle w:val="ListParagraph"/>
        <w:numPr>
          <w:ilvl w:val="0"/>
          <w:numId w:val="1"/>
        </w:numPr>
        <w:spacing w:after="50"/>
      </w:pPr>
      <w:r>
        <w:rPr>
          <w:color w:val="1E293B"/>
        </w:rPr>
        <w:t xml:space="preserve">terugkoppeling aan u als deelnemer;</w:t>
      </w:r>
    </w:p>
    <w:p>
      <w:pPr>
        <w:pStyle w:val="ListParagraph"/>
        <w:numPr>
          <w:ilvl w:val="0"/>
          <w:numId w:val="1"/>
        </w:numPr>
        <w:spacing w:after="50"/>
      </w:pPr>
      <w:r>
        <w:rPr>
          <w:color w:val="1E293B"/>
        </w:rPr>
        <w:t xml:space="preserve">medische beoordeling en opvolging;</w:t>
      </w:r>
    </w:p>
    <w:p>
      <w:pPr>
        <w:pStyle w:val="ListParagraph"/>
        <w:numPr>
          <w:ilvl w:val="0"/>
          <w:numId w:val="1"/>
        </w:numPr>
        <w:spacing w:after="50"/>
      </w:pPr>
      <w:r>
        <w:rPr>
          <w:color w:val="1E293B"/>
        </w:rPr>
        <w:t xml:space="preserve">kwaliteitscontrole van het proces;</w:t>
      </w:r>
    </w:p>
    <w:p>
      <w:pPr>
        <w:pStyle w:val="ListParagraph"/>
        <w:numPr>
          <w:ilvl w:val="0"/>
          <w:numId w:val="1"/>
        </w:numPr>
        <w:spacing w:after="50"/>
      </w:pPr>
      <w:r>
        <w:rPr>
          <w:color w:val="1E293B"/>
        </w:rPr>
        <w:t xml:space="preserve">beantwoording van uw vragen.</w:t>
      </w:r>
    </w:p>
    <w:p>
      <w:pPr>
        <w:spacing w:after="120"/>
      </w:pPr>
      <w:r>
        <w:rPr>
          <w:color w:val="1E293B"/>
        </w:rPr>
        <w:t xml:space="preserve">Uw individuele resultaten worden niet gebruikt in presentaties, publicaties, commerciële communicatie of externe communicatie zonder uw aparte, uitdrukkelijke toestemming. Bij kleine deelnemersgroepen gaat Vita Health extra zorgvuldig om met individuele uitslagen.</w:t>
      </w:r>
    </w:p>
    <w:p>
      <w:pPr>
        <w:pStyle w:val="Heading1"/>
        <w:spacing w:after="120" w:before="280"/>
      </w:pPr>
      <w:r>
        <w:rPr>
          <w:b/>
          <w:bCs/>
          <w:color w:val="1F1683"/>
        </w:rPr>
        <w:t xml:space="preserve">11. Hoe beveiligen wij uw gegevens?</w:t>
      </w:r>
    </w:p>
    <w:p>
      <w:pPr>
        <w:spacing w:after="120"/>
      </w:pPr>
      <w:r>
        <w:rPr>
          <w:color w:val="1E293B"/>
        </w:rPr>
        <w:t xml:space="preserve">Vita Health neemt passende technische en organisatorische maatregelen om uw gegevens te beschermen:</w:t>
      </w:r>
    </w:p>
    <w:p>
      <w:pPr>
        <w:pStyle w:val="ListParagraph"/>
        <w:numPr>
          <w:ilvl w:val="0"/>
          <w:numId w:val="1"/>
        </w:numPr>
        <w:spacing w:after="50"/>
      </w:pPr>
      <w:r>
        <w:rPr>
          <w:color w:val="1E293B"/>
        </w:rPr>
        <w:t xml:space="preserve">toegang tot gegevens wordt beperkt tot personen die deze nodig hebben (rolgebaseerde toegang, tweefactorauthenticatie);</w:t>
      </w:r>
    </w:p>
    <w:p>
      <w:pPr>
        <w:pStyle w:val="ListParagraph"/>
        <w:numPr>
          <w:ilvl w:val="0"/>
          <w:numId w:val="1"/>
        </w:numPr>
        <w:spacing w:after="50"/>
      </w:pPr>
      <w:r>
        <w:rPr>
          <w:color w:val="1E293B"/>
        </w:rPr>
        <w:t xml:space="preserve">uw identiteitsgegevens (naam, adres, contactgegevens) worden </w:t>
      </w:r>
      <w:r>
        <w:rPr>
          <w:b/>
          <w:bCs/>
          <w:color w:val="1E293B"/>
        </w:rPr>
        <w:t xml:space="preserve">versleuteld opgeslagen, gescheiden van de medische gegevens</w:t>
      </w:r>
      <w:r>
        <w:rPr>
          <w:color w:val="1E293B"/>
        </w:rPr>
        <w:t xml:space="preserve">; medische gegevens zijn intern alleen gekoppeld via een pseudoniem;</w:t>
      </w:r>
    </w:p>
    <w:p>
      <w:pPr>
        <w:pStyle w:val="ListParagraph"/>
        <w:numPr>
          <w:ilvl w:val="0"/>
          <w:numId w:val="1"/>
        </w:numPr>
        <w:spacing w:after="50"/>
      </w:pPr>
      <w:r>
        <w:rPr>
          <w:color w:val="1E293B"/>
        </w:rPr>
        <w:t xml:space="preserve">gegevens worden beveiligd opgeslagen en overgedragen via versleutelde kanalen;</w:t>
      </w:r>
    </w:p>
    <w:p>
      <w:pPr>
        <w:pStyle w:val="ListParagraph"/>
        <w:numPr>
          <w:ilvl w:val="0"/>
          <w:numId w:val="1"/>
        </w:numPr>
        <w:spacing w:after="50"/>
      </w:pPr>
      <w:r>
        <w:rPr>
          <w:color w:val="1E293B"/>
        </w:rPr>
        <w:t xml:space="preserve">rapporten worden niet onbeveiligd gedeeld; uitslagen versturen wij via beveiligde e-mail;</w:t>
      </w:r>
    </w:p>
    <w:p>
      <w:pPr>
        <w:pStyle w:val="ListParagraph"/>
        <w:numPr>
          <w:ilvl w:val="0"/>
          <w:numId w:val="1"/>
        </w:numPr>
        <w:spacing w:after="50"/>
      </w:pPr>
      <w:r>
        <w:rPr>
          <w:color w:val="1E293B"/>
        </w:rPr>
        <w:t xml:space="preserve">medewerkers en betrokken professionals zijn gehouden aan vertrouwelijkheid;</w:t>
      </w:r>
    </w:p>
    <w:p>
      <w:pPr>
        <w:pStyle w:val="ListParagraph"/>
        <w:numPr>
          <w:ilvl w:val="0"/>
          <w:numId w:val="1"/>
        </w:numPr>
        <w:spacing w:after="50"/>
      </w:pPr>
      <w:r>
        <w:rPr>
          <w:color w:val="1E293B"/>
        </w:rPr>
        <w:t xml:space="preserve">alle relevante handelingen worden vastgelegd in een auditlog;</w:t>
      </w:r>
    </w:p>
    <w:p>
      <w:pPr>
        <w:pStyle w:val="ListParagraph"/>
        <w:numPr>
          <w:ilvl w:val="0"/>
          <w:numId w:val="1"/>
        </w:numPr>
        <w:spacing w:after="50"/>
      </w:pPr>
      <w:r>
        <w:rPr>
          <w:color w:val="1E293B"/>
        </w:rPr>
        <w:t xml:space="preserve">datalekken worden behandeld conform een vastgesteld incidentresponsproces.</w:t>
      </w:r>
    </w:p>
    <w:p>
      <w:pPr>
        <w:spacing w:after="120"/>
      </w:pPr>
      <w:r>
        <w:rPr>
          <w:b/>
          <w:bCs/>
          <w:color w:val="1E293B"/>
        </w:rPr>
        <w:t xml:space="preserve">Melding bij datalekken:</w:t>
      </w:r>
      <w:r>
        <w:rPr>
          <w:color w:val="1E293B"/>
        </w:rPr>
        <w:t xml:space="preserve"> als er sprake is van een datalek dat een hoog risico voor uw rechten en vrijheden oplevert, stelt Vita Health u hiervan zo snel mogelijk op de hoogte conform artikel 34 AVG.</w:t>
      </w:r>
    </w:p>
    <w:p>
      <w:pPr>
        <w:spacing w:after="120"/>
      </w:pPr>
      <w:r>
        <w:rPr>
          <w:color w:val="1E293B"/>
        </w:rPr>
        <w:t xml:space="preserve">Ondanks deze maatregelen kan geen enkel systeem absolute veiligheid garanderen. Vita Health doet er alles aan om privacyrisico’s zo klein mogelijk te houden.</w:t>
      </w:r>
    </w:p>
    <w:p>
      <w:pPr>
        <w:pStyle w:val="Heading1"/>
        <w:spacing w:after="120" w:before="280"/>
      </w:pPr>
      <w:r>
        <w:rPr>
          <w:b/>
          <w:bCs/>
          <w:color w:val="1F1683"/>
        </w:rPr>
        <w:t xml:space="preserve">12. Hoe lang bewaren wij uw gegevens?</w:t>
      </w:r>
    </w:p>
    <w:p>
      <w:pPr>
        <w:spacing w:after="120"/>
      </w:pPr>
      <w:r>
        <w:rPr>
          <w:color w:val="1E293B"/>
        </w:rPr>
        <w:t xml:space="preserve">Vita Health bewaart uw gegevens niet langer dan noodzakelijk voor het doel waarvoor zij zijn verzameld. Onderstaande termijnen zijn van toepassing:</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4200"/>
        <w:gridCol w:w="5100"/>
      </w:tblGrid>
      <w:tr>
        <w:trPr>
          <w:tblHeader/>
        </w:trPr>
        <w:tc>
          <w:tcPr>
            <w:tcW w:type="dxa" w:w="4200"/>
            <w:shd w:fill="1F1683" w:color="auto" w:val="clear"/>
            <w:tcMar>
              <w:top w:type="dxa" w:w="70"/>
              <w:left w:type="dxa" w:w="110"/>
              <w:bottom w:type="dxa" w:w="70"/>
              <w:right w:type="dxa" w:w="110"/>
            </w:tcMar>
          </w:tcPr>
          <w:p>
            <w:pPr>
              <w:spacing w:after="0"/>
            </w:pPr>
            <w:r>
              <w:rPr>
                <w:b/>
                <w:bCs/>
                <w:color w:val="FFFFFF"/>
                <w:sz w:val="18"/>
                <w:szCs w:val="18"/>
              </w:rPr>
              <w:t xml:space="preserve">Categorie</w:t>
            </w:r>
          </w:p>
        </w:tc>
        <w:tc>
          <w:tcPr>
            <w:tcW w:type="dxa" w:w="5100"/>
            <w:shd w:fill="1F1683" w:color="auto" w:val="clear"/>
            <w:tcMar>
              <w:top w:type="dxa" w:w="70"/>
              <w:left w:type="dxa" w:w="110"/>
              <w:bottom w:type="dxa" w:w="70"/>
              <w:right w:type="dxa" w:w="110"/>
            </w:tcMar>
          </w:tcPr>
          <w:p>
            <w:pPr>
              <w:spacing w:after="0"/>
            </w:pPr>
            <w:r>
              <w:rPr>
                <w:b/>
                <w:bCs/>
                <w:color w:val="FFFFFF"/>
                <w:sz w:val="18"/>
                <w:szCs w:val="18"/>
              </w:rPr>
              <w:t xml:space="preserve">Bewaartermijn</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Contactgegevens</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24 maanden na afronding deelname</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Toestemmingsregistratie</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5 jaar (verantwoording AVG-compliance)</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Gezondheids- en testgegevens</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24 maanden na afronding deelname</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Logistieke procesgegevens</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24 maanden na afronding deelname</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Facturen en betaaladministratie</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7 jaar (fiscale bewaarplicht)</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Technische gegevens (logs)</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12 maanden</w:t>
            </w:r>
          </w:p>
        </w:tc>
      </w:tr>
      <w:tr>
        <w:tc>
          <w:tcPr>
            <w:tcW w:type="dxa" w:w="4200"/>
            <w:tcMar>
              <w:top w:type="dxa" w:w="70"/>
              <w:left w:type="dxa" w:w="110"/>
              <w:bottom w:type="dxa" w:w="70"/>
              <w:right w:type="dxa" w:w="110"/>
            </w:tcMar>
          </w:tcPr>
          <w:p>
            <w:pPr>
              <w:spacing w:after="0"/>
            </w:pPr>
            <w:r>
              <w:rPr>
                <w:b w:val="false"/>
                <w:bCs w:val="false"/>
                <w:color w:val="1E293B"/>
                <w:sz w:val="18"/>
                <w:szCs w:val="18"/>
              </w:rPr>
              <w:t xml:space="preserve">Klachten en incidenten</w:t>
            </w:r>
          </w:p>
        </w:tc>
        <w:tc>
          <w:tcPr>
            <w:tcW w:type="dxa" w:w="5100"/>
            <w:tcMar>
              <w:top w:type="dxa" w:w="70"/>
              <w:left w:type="dxa" w:w="110"/>
              <w:bottom w:type="dxa" w:w="70"/>
              <w:right w:type="dxa" w:w="110"/>
            </w:tcMar>
          </w:tcPr>
          <w:p>
            <w:pPr>
              <w:spacing w:after="0"/>
            </w:pPr>
            <w:r>
              <w:rPr>
                <w:b w:val="false"/>
                <w:bCs w:val="false"/>
                <w:color w:val="1E293B"/>
                <w:sz w:val="18"/>
                <w:szCs w:val="18"/>
              </w:rPr>
              <w:t xml:space="preserve">Wettelijke bewaartermijn (min. 5 jaar)</w:t>
            </w:r>
          </w:p>
        </w:tc>
      </w:tr>
    </w:tbl>
    <w:p>
      <w:pPr>
        <w:spacing w:after="60"/>
      </w:pPr>
    </w:p>
    <w:p>
      <w:pPr>
        <w:spacing w:after="120"/>
      </w:pPr>
      <w:r>
        <w:rPr>
          <w:color w:val="1E293B"/>
        </w:rPr>
        <w:t xml:space="preserve">Na afloop van de bewaartermijn worden gegevens verwijderd of anoniem gemaakt, tenzij een wettelijke verplichting een langere bewaring vereist. U kunt te allen tijde verzoeken om eerdere verwijdering van uw gegevens (zie sectie 14).</w:t>
      </w:r>
    </w:p>
    <w:tbl>
      <w:tblPr>
        <w:tblW w:type="dxa" w:w="9300"/>
        <w:tblBorders>
          <w:top w:val="single" w:color="CA8A04" w:sz="4"/>
          <w:left w:val="single" w:color="CA8A04" w:sz="12"/>
          <w:bottom w:val="single" w:color="CA8A04" w:sz="4"/>
          <w:right w:val="single" w:color="CA8A04" w:sz="4"/>
          <w:insideH w:val="single" w:color="CA8A04" w:sz="4"/>
          <w:insideV w:val="single" w:color="CA8A04" w:sz="4"/>
        </w:tblBorders>
      </w:tblPr>
      <w:tblGrid>
        <w:gridCol w:w="9300"/>
      </w:tblGrid>
      <w:tr>
        <w:tc>
          <w:tcPr>
            <w:tcW w:type="dxa" w:w="9300"/>
            <w:shd w:fill="FEF9C3" w:color="auto" w:val="clear"/>
            <w:tcMar>
              <w:top w:type="dxa" w:w="90"/>
              <w:left w:type="dxa" w:w="150"/>
              <w:bottom w:type="dxa" w:w="90"/>
              <w:right w:type="dxa" w:w="130"/>
            </w:tcMar>
          </w:tcPr>
          <w:p>
            <w:pPr>
              <w:spacing w:after="0"/>
            </w:pPr>
            <w:r>
              <w:rPr>
                <w:b/>
                <w:bCs/>
                <w:color w:val="854D0E"/>
                <w:sz w:val="18"/>
                <w:szCs w:val="18"/>
              </w:rPr>
              <w:t xml:space="preserve">REDACTIENOOT — </w:t>
            </w:r>
            <w:r>
              <w:rPr>
                <w:color w:val="1E293B"/>
              </w:rPr>
              <w:t xml:space="preserve">Deze termijnen moeten één-op-één sporen met het bewaar- en verwijderbeleid en het verwerkingsregister; de concrete termijnen daar zijn nog een open actie. Bij vaststelling: alle drie de documenten gelijktrekken.</w:t>
            </w:r>
          </w:p>
        </w:tc>
      </w:tr>
    </w:tbl>
    <w:p>
      <w:pPr>
        <w:pStyle w:val="Heading1"/>
        <w:spacing w:after="120" w:before="280"/>
      </w:pPr>
      <w:r>
        <w:rPr>
          <w:b/>
          <w:bCs/>
          <w:color w:val="1F1683"/>
        </w:rPr>
        <w:t xml:space="preserve">13. Wat gebeurt er met uw sample? / Ontvangt uw huisarts de uitslag?</w:t>
      </w:r>
    </w:p>
    <w:p>
      <w:pPr>
        <w:spacing w:after="120"/>
      </w:pPr>
      <w:r>
        <w:rPr>
          <w:color w:val="1E293B"/>
        </w:rPr>
        <w:t xml:space="preserve">Uw bloed wordt opgevangen als dried blood spot-sample. De sample wordt gekoppeld aan een unieke samplecode en verzonden naar Nightingale Health voor analyse. De sample wordt uitsluitend gebruikt voor de biomarkertest binnen dit project, tenzij u voor een ander gebruik apart toestemming heeft gegeven. Als uw sample onvoldoende is voor analyse, neemt Vita Health contact met u op over de vervolgstappen.</w:t>
      </w:r>
    </w:p>
    <w:p>
      <w:pPr>
        <w:spacing w:after="120"/>
      </w:pPr>
      <w:r>
        <w:rPr>
          <w:color w:val="1E293B"/>
        </w:rPr>
        <w:t xml:space="preserve">Uw huisarts ontvangt de uitslag niet automatisch. Als uw uitslag aanleiding geeft om contact op te nemen met uw huisarts, bespreekt Vita Health dit met u. Alleen met uw toestemming kan Vita Health informatie delen met uw huisarts of een andere zorgverlener, tenzij er sprake is van een wettelijke verplichting om te handelen.</w:t>
      </w:r>
    </w:p>
    <w:p>
      <w:pPr>
        <w:pStyle w:val="Heading1"/>
        <w:spacing w:after="120" w:before="280"/>
      </w:pPr>
      <w:r>
        <w:rPr>
          <w:b/>
          <w:bCs/>
          <w:color w:val="1F1683"/>
        </w:rPr>
        <w:t xml:space="preserve">14. Uw privacyrechten</w:t>
      </w:r>
    </w:p>
    <w:p>
      <w:pPr>
        <w:spacing w:after="120"/>
      </w:pPr>
      <w:r>
        <w:rPr>
          <w:color w:val="1E293B"/>
        </w:rPr>
        <w:t xml:space="preserve">Op grond van de AVG heeft u de volgende rechten:</w:t>
      </w:r>
    </w:p>
    <w:p>
      <w:pPr>
        <w:pStyle w:val="ListParagraph"/>
        <w:numPr>
          <w:ilvl w:val="0"/>
          <w:numId w:val="1"/>
        </w:numPr>
        <w:spacing w:after="50"/>
      </w:pPr>
      <w:r>
        <w:rPr>
          <w:b/>
          <w:bCs/>
          <w:color w:val="1E293B"/>
        </w:rPr>
        <w:t xml:space="preserve">Recht op inzage</w:t>
      </w:r>
      <w:r>
        <w:rPr>
          <w:color w:val="1E293B"/>
        </w:rPr>
        <w:t xml:space="preserve"> (art. 15): opvragen welke gegevens wij van u verwerken.</w:t>
      </w:r>
    </w:p>
    <w:p>
      <w:pPr>
        <w:pStyle w:val="ListParagraph"/>
        <w:numPr>
          <w:ilvl w:val="0"/>
          <w:numId w:val="1"/>
        </w:numPr>
        <w:spacing w:after="50"/>
      </w:pPr>
      <w:r>
        <w:rPr>
          <w:b/>
          <w:bCs/>
          <w:color w:val="1E293B"/>
        </w:rPr>
        <w:t xml:space="preserve">Recht op rectificatie</w:t>
      </w:r>
      <w:r>
        <w:rPr>
          <w:color w:val="1E293B"/>
        </w:rPr>
        <w:t xml:space="preserve"> (art. 16): onjuiste gegevens laten corrigeren.</w:t>
      </w:r>
    </w:p>
    <w:p>
      <w:pPr>
        <w:pStyle w:val="ListParagraph"/>
        <w:numPr>
          <w:ilvl w:val="0"/>
          <w:numId w:val="1"/>
        </w:numPr>
        <w:spacing w:after="50"/>
      </w:pPr>
      <w:r>
        <w:rPr>
          <w:b/>
          <w:bCs/>
          <w:color w:val="1E293B"/>
        </w:rPr>
        <w:t xml:space="preserve">Recht op verwijdering</w:t>
      </w:r>
      <w:r>
        <w:rPr>
          <w:color w:val="1E293B"/>
        </w:rPr>
        <w:t xml:space="preserve"> (art. 17): vragen uw gegevens te laten verwijderen.</w:t>
      </w:r>
    </w:p>
    <w:p>
      <w:pPr>
        <w:pStyle w:val="ListParagraph"/>
        <w:numPr>
          <w:ilvl w:val="0"/>
          <w:numId w:val="1"/>
        </w:numPr>
        <w:spacing w:after="50"/>
      </w:pPr>
      <w:r>
        <w:rPr>
          <w:b/>
          <w:bCs/>
          <w:color w:val="1E293B"/>
        </w:rPr>
        <w:t xml:space="preserve">Recht op beperking</w:t>
      </w:r>
      <w:r>
        <w:rPr>
          <w:color w:val="1E293B"/>
        </w:rPr>
        <w:t xml:space="preserve"> (art. 18): vragen de verwerking tijdelijk te beperken.</w:t>
      </w:r>
    </w:p>
    <w:p>
      <w:pPr>
        <w:pStyle w:val="ListParagraph"/>
        <w:numPr>
          <w:ilvl w:val="0"/>
          <w:numId w:val="1"/>
        </w:numPr>
        <w:spacing w:after="50"/>
      </w:pPr>
      <w:r>
        <w:rPr>
          <w:b/>
          <w:bCs/>
          <w:color w:val="1E293B"/>
        </w:rPr>
        <w:t xml:space="preserve">Recht op overdraagbaarheid</w:t>
      </w:r>
      <w:r>
        <w:rPr>
          <w:color w:val="1E293B"/>
        </w:rPr>
        <w:t xml:space="preserve"> (art. 20): uw gegevens opvragen in een gestructureerd formaat.</w:t>
      </w:r>
    </w:p>
    <w:p>
      <w:pPr>
        <w:pStyle w:val="ListParagraph"/>
        <w:numPr>
          <w:ilvl w:val="0"/>
          <w:numId w:val="1"/>
        </w:numPr>
        <w:spacing w:after="50"/>
      </w:pPr>
      <w:r>
        <w:rPr>
          <w:b/>
          <w:bCs/>
          <w:color w:val="1E293B"/>
        </w:rPr>
        <w:t xml:space="preserve">Recht op bezwaar</w:t>
      </w:r>
      <w:r>
        <w:rPr>
          <w:color w:val="1E293B"/>
        </w:rPr>
        <w:t xml:space="preserve"> (art. 21): bezwaar maken tegen bepaalde verwerkingen.</w:t>
      </w:r>
    </w:p>
    <w:p>
      <w:pPr>
        <w:pStyle w:val="ListParagraph"/>
        <w:numPr>
          <w:ilvl w:val="0"/>
          <w:numId w:val="1"/>
        </w:numPr>
        <w:spacing w:after="50"/>
      </w:pPr>
      <w:r>
        <w:rPr>
          <w:b/>
          <w:bCs/>
          <w:color w:val="1E293B"/>
        </w:rPr>
        <w:t xml:space="preserve">Recht m.b.t. geautomatiseerde besluitvorming</w:t>
      </w:r>
      <w:r>
        <w:rPr>
          <w:color w:val="1E293B"/>
        </w:rPr>
        <w:t xml:space="preserve"> (art. 22): u kunt vragen om menselijke beoordeling van een op basis van uw profiel gegenereerd resultaat.</w:t>
      </w:r>
    </w:p>
    <w:p>
      <w:pPr>
        <w:spacing w:after="120"/>
      </w:pPr>
      <w:r>
        <w:rPr>
          <w:color w:val="1E293B"/>
        </w:rPr>
        <w:t xml:space="preserve">U kunt uw rechten uitoefenen via helpdesk.vita-health.nl of door contact op te nemen via de gegevens in sectie 16. Vita Health reageert binnen één maand op uw verzoek. Bij complexe of omvangrijke verzoeken kan deze termijn met twee maanden worden verlengd; wij informeren u dan tijdig.</w:t>
      </w:r>
    </w:p>
    <w:p>
      <w:pPr>
        <w:spacing w:after="120"/>
      </w:pPr>
      <w:r>
        <w:rPr>
          <w:color w:val="1E293B"/>
        </w:rPr>
        <w:t xml:space="preserve">Sommige rechten kunnen beperkt zijn wanneer gegevens al zijn verwerkt, wanneer wettelijke verplichtingen gelden of wanneer gegevens noodzakelijk zijn voor kwaliteits- of veiligheidsregistratie.</w:t>
      </w:r>
    </w:p>
    <w:p>
      <w:pPr>
        <w:pStyle w:val="Heading1"/>
        <w:spacing w:after="120" w:before="280"/>
      </w:pPr>
      <w:r>
        <w:rPr>
          <w:b/>
          <w:bCs/>
          <w:color w:val="1F1683"/>
        </w:rPr>
        <w:t xml:space="preserve">15. Hoe kunt u uw toestemming intrekken?</w:t>
      </w:r>
    </w:p>
    <w:p>
      <w:pPr>
        <w:spacing w:after="120"/>
      </w:pPr>
      <w:r>
        <w:rPr>
          <w:color w:val="1E293B"/>
        </w:rPr>
        <w:t xml:space="preserve">U kunt uw toestemming op elk moment intrekken door contact op te nemen met Vita Health. Na intrekking stopt Vita Health verdere verwerking voor zover dat mogelijk is. Houd rekening met het volgende:</w:t>
      </w:r>
    </w:p>
    <w:p>
      <w:pPr>
        <w:pStyle w:val="ListParagraph"/>
        <w:numPr>
          <w:ilvl w:val="0"/>
          <w:numId w:val="1"/>
        </w:numPr>
        <w:spacing w:after="50"/>
      </w:pPr>
      <w:r>
        <w:rPr>
          <w:color w:val="1E293B"/>
        </w:rPr>
        <w:t xml:space="preserve">als uw sample nog niet is geanalyseerd, probeert Vita Health verdere analyse te stoppen;</w:t>
      </w:r>
    </w:p>
    <w:p>
      <w:pPr>
        <w:pStyle w:val="ListParagraph"/>
        <w:numPr>
          <w:ilvl w:val="0"/>
          <w:numId w:val="1"/>
        </w:numPr>
        <w:spacing w:after="50"/>
      </w:pPr>
      <w:r>
        <w:rPr>
          <w:color w:val="1E293B"/>
        </w:rPr>
        <w:t xml:space="preserve">als uw sample al is geanalyseerd, kan de analyse niet altijd ongedaan worden gemaakt;</w:t>
      </w:r>
    </w:p>
    <w:p>
      <w:pPr>
        <w:pStyle w:val="ListParagraph"/>
        <w:numPr>
          <w:ilvl w:val="0"/>
          <w:numId w:val="1"/>
        </w:numPr>
        <w:spacing w:after="50"/>
      </w:pPr>
      <w:r>
        <w:rPr>
          <w:color w:val="1E293B"/>
        </w:rPr>
        <w:t xml:space="preserve">gegevens die al rechtmatig zijn verwerkt vóór intrekking blijven geldig;</w:t>
      </w:r>
    </w:p>
    <w:p>
      <w:pPr>
        <w:pStyle w:val="ListParagraph"/>
        <w:numPr>
          <w:ilvl w:val="0"/>
          <w:numId w:val="1"/>
        </w:numPr>
        <w:spacing w:after="50"/>
      </w:pPr>
      <w:r>
        <w:rPr>
          <w:color w:val="1E293B"/>
        </w:rPr>
        <w:t xml:space="preserve">bepaalde gegevens kunnen bewaard blijven als dat noodzakelijk is voor administratie, kwaliteit, veiligheid of wettelijke verplichtingen (bijv. toestemmingsregistratie en facturen).</w:t>
      </w:r>
    </w:p>
    <w:p>
      <w:pPr>
        <w:pStyle w:val="Heading1"/>
        <w:spacing w:after="120" w:before="280"/>
      </w:pPr>
      <w:r>
        <w:rPr>
          <w:b/>
          <w:bCs/>
          <w:color w:val="1F1683"/>
        </w:rPr>
        <w:t xml:space="preserve">16. Vragen of klachten</w:t>
      </w:r>
    </w:p>
    <w:p>
      <w:pPr>
        <w:spacing w:after="120"/>
      </w:pPr>
      <w:r>
        <w:rPr>
          <w:color w:val="1E293B"/>
        </w:rPr>
        <w:t xml:space="preserve">Heeft u vragen over deze privacyverklaring of de verwerking van uw gegevens? Neem dan contact op met Vita Health:</w:t>
      </w:r>
    </w:p>
    <w:tbl>
      <w:tblPr>
        <w:tblW w:type="dxa" w:w="9300"/>
        <w:tblBorders>
          <w:top w:val="single" w:color="E2E8F0" w:sz="4"/>
          <w:left w:val="single" w:color="E2E8F0" w:sz="4"/>
          <w:bottom w:val="single" w:color="E2E8F0" w:sz="4"/>
          <w:right w:val="single" w:color="E2E8F0" w:sz="4"/>
          <w:insideH w:val="single" w:color="E2E8F0" w:sz="4"/>
          <w:insideV w:val="single" w:color="E2E8F0" w:sz="4"/>
        </w:tblBorders>
      </w:tblPr>
      <w:tblGrid>
        <w:gridCol w:w="2900"/>
        <w:gridCol w:w="6400"/>
      </w:tblGrid>
      <w:tr>
        <w:trPr>
          <w:tblHeader/>
        </w:trPr>
        <w:tc>
          <w:tcPr>
            <w:tcW w:type="dxa" w:w="2900"/>
            <w:shd w:fill="1F1683" w:color="auto" w:val="clear"/>
            <w:tcMar>
              <w:top w:type="dxa" w:w="70"/>
              <w:left w:type="dxa" w:w="110"/>
              <w:bottom w:type="dxa" w:w="70"/>
              <w:right w:type="dxa" w:w="110"/>
            </w:tcMar>
          </w:tcPr>
          <w:p>
            <w:pPr>
              <w:spacing w:after="0"/>
            </w:pPr>
            <w:r>
              <w:rPr>
                <w:b/>
                <w:bCs/>
                <w:color w:val="FFFFFF"/>
                <w:sz w:val="18"/>
                <w:szCs w:val="18"/>
              </w:rPr>
              <w:t xml:space="preserve"/>
            </w:r>
          </w:p>
        </w:tc>
        <w:tc>
          <w:tcPr>
            <w:tcW w:type="dxa" w:w="6400"/>
            <w:shd w:fill="1F1683" w:color="auto" w:val="clear"/>
            <w:tcMar>
              <w:top w:type="dxa" w:w="70"/>
              <w:left w:type="dxa" w:w="110"/>
              <w:bottom w:type="dxa" w:w="70"/>
              <w:right w:type="dxa" w:w="110"/>
            </w:tcMar>
          </w:tcPr>
          <w:p>
            <w:pPr>
              <w:spacing w:after="0"/>
            </w:pPr>
            <w:r>
              <w:rPr>
                <w:b/>
                <w:bCs/>
                <w:color w:val="FFFFFF"/>
                <w:sz w:val="18"/>
                <w:szCs w:val="18"/>
              </w:rPr>
              <w:t xml:space="preserve"/>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Organisatie</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Vitahealth BV — KvK 42133916</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Adres</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Oudhuizerstraat 31, 7382 BS Klarenbeek</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Contactpersoon</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Pieter-Frank van Boven</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E-mail</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info@vita-health.nl</w:t>
            </w:r>
          </w:p>
        </w:tc>
      </w:tr>
      <w:tr>
        <w:tc>
          <w:tcPr>
            <w:tcW w:type="dxa" w:w="2900"/>
            <w:tcMar>
              <w:top w:type="dxa" w:w="70"/>
              <w:left w:type="dxa" w:w="110"/>
              <w:bottom w:type="dxa" w:w="70"/>
              <w:right w:type="dxa" w:w="110"/>
            </w:tcMar>
          </w:tcPr>
          <w:p>
            <w:pPr>
              <w:spacing w:after="0"/>
            </w:pPr>
            <w:r>
              <w:rPr>
                <w:b w:val="false"/>
                <w:bCs w:val="false"/>
                <w:color w:val="1E293B"/>
                <w:sz w:val="18"/>
                <w:szCs w:val="18"/>
              </w:rPr>
              <w:t xml:space="preserve">Helpdesk</w:t>
            </w:r>
          </w:p>
        </w:tc>
        <w:tc>
          <w:tcPr>
            <w:tcW w:type="dxa" w:w="6400"/>
            <w:tcMar>
              <w:top w:type="dxa" w:w="70"/>
              <w:left w:type="dxa" w:w="110"/>
              <w:bottom w:type="dxa" w:w="70"/>
              <w:right w:type="dxa" w:w="110"/>
            </w:tcMar>
          </w:tcPr>
          <w:p>
            <w:pPr>
              <w:spacing w:after="0"/>
            </w:pPr>
            <w:r>
              <w:rPr>
                <w:b w:val="false"/>
                <w:bCs w:val="false"/>
                <w:color w:val="1E293B"/>
                <w:sz w:val="18"/>
                <w:szCs w:val="18"/>
              </w:rPr>
              <w:t xml:space="preserve">helpdesk.vita-health.nl</w:t>
            </w:r>
          </w:p>
        </w:tc>
      </w:tr>
    </w:tbl>
    <w:p>
      <w:pPr>
        <w:spacing w:after="60"/>
      </w:pPr>
    </w:p>
    <w:p>
      <w:pPr>
        <w:spacing w:after="120"/>
      </w:pPr>
      <w:r>
        <w:rPr>
          <w:color w:val="1E293B"/>
        </w:rPr>
        <w:t xml:space="preserve">Wij vragen u eerst contact met ons op te nemen als u van mening bent dat wij niet zorgvuldig met uw gegevens omgaan. Dan proberen wij samen een oplossing te vinden. U heeft ook het recht om een klacht in te dienen bij de Autoriteit Persoonsgegevens (www.autoriteitpersoonsgegevens.nl).</w:t>
      </w:r>
    </w:p>
    <w:p>
      <w:pPr>
        <w:pStyle w:val="Heading1"/>
        <w:spacing w:after="120" w:before="280"/>
      </w:pPr>
      <w:r>
        <w:rPr>
          <w:b/>
          <w:bCs/>
          <w:color w:val="1F1683"/>
        </w:rPr>
        <w:t xml:space="preserve">17. Wijzigingen in deze privacyverklaring</w:t>
      </w:r>
    </w:p>
    <w:p>
      <w:pPr>
        <w:spacing w:after="120"/>
      </w:pPr>
      <w:r>
        <w:rPr>
          <w:color w:val="1E293B"/>
        </w:rPr>
        <w:t xml:space="preserve">Vita Health kan deze privacyverklaring aanpassen als het testproces of de wet- en regelgeving daartoe aanleiding geeft. De meest actuele versie is beschikbaar via helpdesk.vita-health.nl. Bij wezenlijke wijzigingen ontvangt u hierover bericht.</w:t>
      </w:r>
    </w:p>
    <w:p>
      <w:pPr>
        <w:spacing w:after="120"/>
      </w:pPr>
      <w:r>
        <w:rPr>
          <w:color w:val="1E293B"/>
        </w:rPr>
        <w:t xml:space="preserve">Bewaar dit document zorgvuldig voor uw eigen administratie.</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683"/>
      <w:sz w:val="28"/>
      <w:szCs w:val="28"/>
    </w:rPr>
  </w:style>
  <w:style w:type="paragraph" w:styleId="Heading2">
    <w:name w:val="Heading 2"/>
    <w:basedOn w:val="Normal"/>
    <w:next w:val="Normal"/>
    <w:qFormat/>
    <w:rPr>
      <w:rFonts w:ascii="Calibri" w:cs="Calibri" w:eastAsia="Calibri" w:hAnsi="Calibri"/>
      <w:b/>
      <w:bCs/>
      <w:color w:val="1E293B"/>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Privacyverklaring (werkversie) — v1.2</dc:title>
  <dc:creator>Vita Health</dc:creator>
  <cp:lastModifiedBy>Un-named</cp:lastModifiedBy>
  <cp:revision>1</cp:revision>
  <dcterms:created xsi:type="dcterms:W3CDTF">2026-08-19T08:03:51.216Z</dcterms:created>
  <dcterms:modified xsi:type="dcterms:W3CDTF">2026-08-19T08:03:51.245Z</dcterms:modified>
</cp:coreProperties>
</file>

<file path=docProps/custom.xml><?xml version="1.0" encoding="utf-8"?>
<Properties xmlns="http://schemas.openxmlformats.org/officeDocument/2006/custom-properties" xmlns:vt="http://schemas.openxmlformats.org/officeDocument/2006/docPropsVTypes"/>
</file>