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6"/>
      </w:tblGrid>
      <w:tr>
        <w:tc>
          <w:tcPr>
            <w:tcW w:type="dxa" w:w="9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40"/>
              <w:left w:type="dxa" w:w="560"/>
              <w:bottom w:type="dxa" w:w="440"/>
              <w:right w:type="dxa" w:w="5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Beveiligingsmaatregelen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A5F3FC"/>
                <w:sz w:val="24"/>
                <w:szCs w:val="24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20"/>
                <w:szCs w:val="20"/>
              </w:rPr>
              <w:t xml:space="preserve">Bijgewerkte versie — 8 juni 2026  ·  platform v1.0.0</w:t>
            </w:r>
          </w:p>
        </w:tc>
      </w:tr>
    </w:tbl>
    <w:p>
      <w:pPr>
        <w:spacing w:after="120" w:before="22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Dit document beschrijft de technische en organisatorische beveiligingsmaatregelen van het Vita Health Platform. Het is een momentopname en wordt bijgewerkt bij belangrijke wijzigingen. Volledige AVG-compliance vereist naast deze maatregelen ook aantoonbare processen (DPIA, verwerkersregister, verwerkersovereenkomsten).</w:t>
      </w:r>
    </w:p>
    <w:p>
      <w:pPr>
        <w:spacing w:after="4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6"/>
              <w:bottom w:val="single" w:color="10B981" w:sz="1"/>
              <w:right w:val="single" w:color="10B981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Belangrijkste wijziging sinds de vorige versie: de auditlog is nu volledig — elke aanmaak, wijziging en verwijdering wordt automatisch vastgelegd via database-triggers, in plaats van een beperkte set acties.</w:t>
            </w:r>
          </w:p>
        </w:tc>
      </w:tr>
    </w:tbl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1. Authenticatie &amp; toegangsbeheer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Verplichte tweefactorauthenticatie (2FA/TOTP) voor alle medewerkers; zonder geverifieerde tweede factor geen toegang tot het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Automatische uitlog na 5 minuten inactiviteit.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Rate limiting op inloggen: na 3 mislukte pogingen tijdelijke blokkade, na 6 pogingen langdurige blokkade.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Cliënten benaderen het portaal via onraadbare, token-gebaseerde links (geen e-mailadres in de URL).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Nieuwe medewerkers worden via e-mailuitnodiging toegevoegd en stellen zelf een sterk wachtwoord (min. 12 tekens) en 2FA in.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2. Autorisatie &amp; rollenmodel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Rollen worden server- én databasezijde afgedwongen, niet alleen in de interface.</w:t>
      </w:r>
    </w:p>
    <w:p>
      <w:pPr>
        <w:spacing w:after="6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Toegang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Volledig beheer: auditlog, alerts, medewerkers, toestemmingen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Arts / Leefstijlarts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+ medische uitslagen en vragenlijstresultaten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Medewerker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zonder medische uitslagen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Cliënt (portaal)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Uitsluitend eigen aanmelding en status</w:t>
            </w:r>
          </w:p>
        </w:tc>
      </w:tr>
    </w:tbl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Row Level Security (RLS) actief op alle gevoelige tabellen.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Actie-toewijzing op het dashboard is rol-bewust: arts-acties kunnen alleen aan artsen worden toegewezen; server-side gevalideerd.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Admin-functies (auditlog, medewerkers, toestemmingen) zijn afgeschermd met server-side rolcontrole en redirect.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3. Invoervalidatie &amp; injectiepreventie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UUID-validatie op alle route-parameters.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Schema-validatie (Zod) op API-routes die invoer verwerken.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Geparametriseerde queries via de Supabase-client — geen samengestelde 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HTML-escaping van gebruikersinvoer in e-mails (XSS-preventie).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Secrets uitsluitend server-side; nooit in NEXT_PUBLIC-variabelen, logs of repository.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4. Medische auditlog (NEN 7513)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6"/>
              <w:bottom w:val="single" w:color="10B981" w:sz="1"/>
              <w:right w:val="single" w:color="10B981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Bijgewerkt: voorheen werd slechts een beperkte set acties gelogd. Nu wordt élke schrijfactie automatisch vastgelegd via database-triggers — ook vanuit de browser of directe SQL.</w:t>
            </w:r>
          </w:p>
        </w:tc>
      </w:tr>
    </w:tbl>
    <w:p>
      <w:pPr>
        <w:spacing w:after="40" w:before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Wat wordt vastgelegd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Aanmaken, wijzigen en verwijderen van: cliënten, testkits, toestemmingen (+ versies), notities, documenten, vragenlijst-opdrachten/antwoorden, intake-uitnodigingen, medewerkers, batches, actie-toewijzingen, alerts, aanvragen, bedrijven en arbodiensten.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Leesacties: inzage cliëntdossier en vragenlijstresultaten.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Exports (Excel) — blokkerend: zonder log geen export.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E-mailverzendingen: uitnodiging, herinnering, goedkeuring, hervatten.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Statuswijzigingen en de geschiktheidsverklaring van de cliënt.</w:t>
      </w:r>
    </w:p>
    <w:p>
      <w:pPr>
        <w:spacing w:after="4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Hoe het is geborgd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Append-only: wijzigen en verwijderen van auditregels is voor alle applicatierollen geblokkeerd.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Vastlegging van "wie": ingelogde gebruiker (auth-sessie) of de verantwoordelijke medewerker.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IP-adressen en sessie-IDs worden gehasht opgeslagen, nooit als ruwe waarde.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Privacy: nooit medische inhoud of vrije tekst in de log — alleen identificatoren en een veilige set statusvelden.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Externe kopie naar Better Stack (log drain): zelfs bij compromittering van de database blijft een onafhankelijke kopie bestaan.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Inzichtelijk voor admins via een aparte auditlog-pagina met filters.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5. Geautomatiseerde alertdetectie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Een periodieke controle (elke 15 minuten) signaleert verdacht gedrag en toont alerts bovenaan het dashboard voor admins.</w:t>
      </w:r>
    </w:p>
    <w:p>
      <w:pPr>
        <w:spacing w:after="6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Drempel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Bulk-inzage dossiers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15 in 60 minuten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Bulk-inzage resultaten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10 in 30 minuten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Veel exports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3 in 24 uur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Export buiten werktijd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weekend of buiten 07:00–19:00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Herhaalde toegangsweigering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5 in 10 minuten</w:t>
            </w:r>
          </w:p>
        </w:tc>
      </w:tr>
    </w:tbl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6. Privacy &amp; AVG-compliance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Vier toestemmingsverklaringen op basis van AVG art. 6 en art. 9 (bijzondere persoonsgegevens).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Toestemmingen zijn beheerbaar met versiebeheer: een admin kan teksten aanpassen; elke wijziging wordt als nieuwe versie opgeslagen. Per cliënt is vastgelegd welke versie is geaccepteerd.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Met Nightingale Health worden uitsluitend geboortedatum, geslacht en een samplecode gedeeld — geen naam of contactgegevens.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Deelnemersinformatie en privacyverklaring beschikbaar als PDF en gelinkt in uitnodiging en formulier.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Volledige vrijwilligheid: deelnemer kan op elk moment stoppen.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Zoekmachine-indexering uitgeschakeld (robots noindex) op alle paginas.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7. Medische geschiktheidscheck (contra-indicaties)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6"/>
              <w:bottom w:val="single" w:color="10B981" w:sz="1"/>
              <w:right w:val="single" w:color="10B981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Bijgewerkt: de geschiktheidsverklaring wordt nu vastgelegd als blijvend record — verklaring, exact getoonde criteria-tekst en tijdstip.</w:t>
            </w:r>
          </w:p>
        </w:tc>
      </w:tr>
    </w:tbl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Vóór de vragenlijst krijgt de deelnemer een lijst met uitsluitingscriteria (o.a. bloedingsstoornis, zwangerschap, bloedverdunners, recente operatie/transfusie).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 verklaring (wel/niet van toepassing) wordt server-side en manipulatievrij opgeslagen, inclusief de getoonde tekstversie en het tijdstip.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Bij een mogelijke contra-indicatie wordt de aanmelding geblokkeerd (on hold) en verschijnt een opvallende waarschuwing op de cliëntpagina; een arts neemt contact 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 arts kan de blokkade na overleg opheffen (deelnemer mag door) of de intake stoppen.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8. Datalek &amp; incidentrespons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Een apart noodplan beschrijft hoe je bij een incident snel inlogs stopt, sessies beëindigt, accounts blokkeert of de app offline haalt.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Meldplicht datalek binnen 72 uur bij de Autoriteit Persoonsgegevens; het noodplan bevat de triage en stappen.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 auditlog en de externe log-kopie ondersteunen forensisch onderzoek na een incident.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Zie het bijbehorende document: "Noodplan — Beveiligingsincident".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9. Infrastructuur &amp; buildveiligheid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Multi-stage Docker-build (node:22-alpine); geen ontwikkelafhankelijkheden in de productie-image.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Container draait als non-root gebruiker.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TypeScript strict mode — type-veiligheid afgedwongen bij elke 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Server-side secrets (service-role key, API-keys, audit-salt, cron-secret) buiten de client-bundle.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Deployment via Coolify met automatische redeploy bij push naar de hoofdbranch.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10. E-mailbeveiliging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Verzending via een geverifieerd domein.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HTML-escaping van alle gebruikersinvoer in e-mailteksten.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Geen medische inhoud in e-mails — alleen statusmeldingen en beveiligde links.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11. Versie- &amp; wijzigingsbeheer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Semantische versionering (SemVer); het platform draait op v1.0.0.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Changelog (CHANGELOG.md) en git-tags per release; GitHub Releases met release-notes.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Het actieve versienummer is zichtbaar in de applicatie.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Databasewijzigingen via genummerde migraties (001 t/m 036).</w:t>
      </w:r>
    </w:p>
    <w:p>
      <w:pPr>
        <w:pBdr>
          <w:bottom w:val="single" w:color="E2E8F0" w:sz="1"/>
        </w:pBdr>
        <w:spacing w:after="140" w:before="14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1683"/>
          <w:sz w:val="28"/>
          <w:szCs w:val="28"/>
        </w:rPr>
        <w:t xml:space="preserve">12. Openstaande aanbevelingen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Voor volledige, aantoonbare compliance zijn daarnaast nog de volgende (deels organisatorische) stappen aan te bevelen: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Maatregel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DPIA opstellen en vastleggen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Verwerkingsregister bijhouden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Supabase: SSL enforcement + network restrictions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Point-in-Time Recovery + hersteltest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Leesacties verder loggen (bv. PDF-downloads)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Externe pentest + hertest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NEN 7510/7513 gap-analyse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Middel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Verwerkersovereenkomsten (Supabase, Resend, Better Stack)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Hoog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Jaarlijkse leveranciers- en securitybeoordeling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Aanbevolen</w:t>
            </w:r>
          </w:p>
        </w:tc>
      </w:tr>
    </w:tbl>
    <w:p>
      <w:pPr>
        <w:spacing w:after="80" w:before="16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6"/>
      </w:tblGrid>
      <w:tr>
        <w:tc>
          <w:tcPr>
            <w:tcW w:type="dxa" w:w="9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Dit document is onderdeel van het beveiligingsbeleid van Vita Health. Werk het bij na elke belangrijke wijziging en bewaar het buiten het platform (bijv. in Notion of een versleutelde map).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Bewaar dit buiten het platform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Beveiligingsmaatregelen</w:t>
    </w:r>
    <w:r>
      <w:rPr>
        <w:rFonts w:ascii="Arial" w:cs="Arial" w:eastAsia="Arial" w:hAnsi="Arial"/>
        <w:b/>
        <w:bCs/>
        <w:color w:val="DC2626"/>
        <w:sz w:val="16"/>
        <w:szCs w:val="16"/>
      </w:rPr>
      <w:t xml:space="preserve">  —  INTERN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168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2026-06-09T11:51:54.496Z</dcterms:created>
  <dcterms:modified xsi:type="dcterms:W3CDTF">2026-06-09T11:51:54.514Z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