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1683"/>
          <w:spacing w:val="60"/>
          <w:sz w:val="24"/>
          <w:szCs w:val="24"/>
        </w:rPr>
        <w:t xml:space="preserve">VITA HEALTH</w:t>
      </w:r>
    </w:p>
    <w:p>
      <w:pPr>
        <w:pBdr>
          <w:bottom w:val="single" w:color="04B788" w:sz="18"/>
        </w:pBdr>
        <w:spacing w:after="0" w:before="40"/>
      </w:pPr>
    </w:p>
    <w:p>
      <w:pPr>
        <w:spacing w:after="0" w:before="260"/>
      </w:pPr>
      <w:r>
        <w:rPr>
          <w:b/>
          <w:bCs/>
          <w:color w:val="1E293B"/>
          <w:sz w:val="52"/>
          <w:szCs w:val="52"/>
        </w:rPr>
        <w:t xml:space="preserve">PII-kluis — toelichting AVG</w:t>
      </w:r>
    </w:p>
    <w:p>
      <w:pPr>
        <w:spacing w:after="0" w:before="120"/>
      </w:pPr>
      <w:r>
        <w:rPr>
          <w:color w:val="64748B"/>
          <w:sz w:val="28"/>
          <w:szCs w:val="28"/>
        </w:rPr>
        <w:t xml:space="preserve">Scheiding en versleuteling van identificerende persoonsgegevens, in gewone taal</w:t>
      </w:r>
    </w:p>
    <w:p>
      <w:pPr>
        <w:spacing w:after="0" w:before="900"/>
      </w:pPr>
      <w:r>
        <w:rPr>
          <w:b/>
          <w:bCs/>
          <w:color w:val="1E293B"/>
          <w:sz w:val="24"/>
          <w:szCs w:val="24"/>
        </w:rPr>
        <w:t xml:space="preserve">Versie 1.0</w:t>
      </w:r>
    </w:p>
    <w:p>
      <w:pPr>
        <w:spacing w:after="0" w:before="40"/>
      </w:pPr>
      <w:r>
        <w:rPr>
          <w:color w:val="64748B"/>
          <w:sz w:val="22"/>
          <w:szCs w:val="22"/>
        </w:rPr>
        <w:t xml:space="preserve">Datum: 13 augustus 2026</w:t>
      </w:r>
    </w:p>
    <w:p>
      <w:pPr>
        <w:spacing w:after="0" w:before="40"/>
      </w:pPr>
      <w:r>
        <w:rPr>
          <w:color w:val="64748B"/>
          <w:sz w:val="22"/>
          <w:szCs w:val="22"/>
        </w:rPr>
        <w:t xml:space="preserve">Status: definitief — maatregel geïmplementeerd</w:t>
      </w:r>
    </w:p>
    <w:p>
      <w:pPr>
        <w:spacing w:after="0" w:before="40"/>
      </w:pPr>
      <w:r>
        <w:rPr>
          <w:color w:val="64748B"/>
          <w:sz w:val="22"/>
          <w:szCs w:val="22"/>
        </w:rPr>
        <w:t xml:space="preserve">Doelgroep: AVG-functionaris / privacy-verantwoordelijke</w:t>
      </w:r>
    </w:p>
    <w:p>
      <w:pPr>
        <w:spacing w:after="0" w:before="40"/>
      </w:pPr>
      <w:r>
        <w:rPr>
          <w:color w:val="64748B"/>
          <w:sz w:val="22"/>
          <w:szCs w:val="22"/>
        </w:rPr>
        <w:t xml:space="preserve">Technisch zusterdocument: pii-kluis-implementatieplan-v1.0</w:t>
      </w:r>
    </w:p>
    <w:p>
      <w:r>
        <w:br w:type="page"/>
      </w:r>
    </w:p>
    <w:p>
      <w:pPr>
        <w:pStyle w:val="Heading1"/>
        <w:spacing w:after="120" w:before="280"/>
      </w:pPr>
      <w:r>
        <w:rPr>
          <w:b/>
          <w:bCs/>
          <w:color w:val="1F1683"/>
        </w:rPr>
        <w:t xml:space="preserve">1. Wat was de situatie?</w:t>
      </w:r>
    </w:p>
    <w:p>
      <w:pPr>
        <w:spacing w:after="120"/>
      </w:pPr>
      <w:r>
        <w:rPr>
          <w:color w:val="1E293B"/>
        </w:rPr>
        <w:t xml:space="preserve">In de database stonden twee soorten gegevens naast elkaar in dezelfde tabel: </w:t>
      </w:r>
      <w:r>
        <w:rPr>
          <w:b/>
          <w:bCs/>
          <w:color w:val="1E293B"/>
        </w:rPr>
        <w:t xml:space="preserve">wie iemand is</w:t>
      </w:r>
      <w:r>
        <w:rPr>
          <w:color w:val="1E293B"/>
        </w:rPr>
        <w:t xml:space="preserve"> (naam, adres, e-mail, telefoon, geboortedatum) en </w:t>
      </w:r>
      <w:r>
        <w:rPr>
          <w:b/>
          <w:bCs/>
          <w:color w:val="1E293B"/>
        </w:rPr>
        <w:t xml:space="preserve">wat we medisch van diegene weten</w:t>
      </w:r>
      <w:r>
        <w:rPr>
          <w:color w:val="1E293B"/>
        </w:rPr>
        <w:t xml:space="preserve"> (uitslagen, vragenlijsten, adviezen). Wie de database te pakken zou krijgen — via een gestolen backup, een gelekt wachtwoord of een inbraak bij de databaseleverancier — had daarmee in één klap complete, op naam herleidbare medische dossiers.</w:t>
      </w:r>
    </w:p>
    <w:p>
      <w:pPr>
        <w:pStyle w:val="Heading1"/>
        <w:spacing w:after="120" w:before="280"/>
      </w:pPr>
      <w:r>
        <w:rPr>
          <w:b/>
          <w:bCs/>
          <w:color w:val="1F1683"/>
        </w:rPr>
        <w:t xml:space="preserve">2. Wat is er gedaan?</w:t>
      </w:r>
    </w:p>
    <w:p>
      <w:pPr>
        <w:spacing w:after="120"/>
      </w:pPr>
      <w:r>
        <w:rPr>
          <w:color w:val="1E293B"/>
        </w:rPr>
        <w:t xml:space="preserve">De twee soorten gegevens zijn </w:t>
      </w:r>
      <w:r>
        <w:rPr>
          <w:b/>
          <w:bCs/>
          <w:color w:val="1E293B"/>
        </w:rPr>
        <w:t xml:space="preserve">fysiek uit elkaar gehaald</w:t>
      </w:r>
      <w:r>
        <w:rPr>
          <w:color w:val="1E293B"/>
        </w:rPr>
        <w:t xml:space="preserve">, volgens een kluis-principe:</w:t>
      </w:r>
    </w:p>
    <w:p>
      <w:pPr>
        <w:pStyle w:val="ListParagraph"/>
        <w:numPr>
          <w:ilvl w:val="0"/>
          <w:numId w:val="2"/>
        </w:numPr>
        <w:spacing w:after="80"/>
      </w:pPr>
      <w:r>
        <w:rPr>
          <w:b/>
          <w:bCs/>
          <w:color w:val="1E293B"/>
        </w:rPr>
        <w:t xml:space="preserve">Het medische dossier is voortaan naamloos.</w:t>
      </w:r>
      <w:r>
        <w:rPr>
          <w:color w:val="1E293B"/>
        </w:rPr>
        <w:t xml:space="preserve"> Dossiers (uitslagen, vragenlijsten, status) hangen aan een betekenisloos volgnummer — een pseudoniem. In het dossier zelf staat geen naam, adres of geboortedatum meer.</w:t>
      </w:r>
    </w:p>
    <w:p>
      <w:pPr>
        <w:pStyle w:val="ListParagraph"/>
        <w:numPr>
          <w:ilvl w:val="0"/>
          <w:numId w:val="2"/>
        </w:numPr>
        <w:spacing w:after="80"/>
      </w:pPr>
      <w:r>
        <w:rPr>
          <w:b/>
          <w:bCs/>
          <w:color w:val="1E293B"/>
        </w:rPr>
        <w:t xml:space="preserve">De identificerende gegevens liggen in een aparte kluis.</w:t>
      </w:r>
      <w:r>
        <w:rPr>
          <w:color w:val="1E293B"/>
        </w:rPr>
        <w:t xml:space="preserve"> Naam, adres, e-mail, telefoon en geboortedatum staan in een aparte tabel en zijn daar versleuteld — elk veld afzonderlijk, met sterke encryptie (AES-256, de standaard die ook banken gebruiken).</w:t>
      </w:r>
    </w:p>
    <w:p>
      <w:pPr>
        <w:pStyle w:val="ListParagraph"/>
        <w:numPr>
          <w:ilvl w:val="0"/>
          <w:numId w:val="2"/>
        </w:numPr>
        <w:spacing w:after="80"/>
      </w:pPr>
      <w:r>
        <w:rPr>
          <w:b/>
          <w:bCs/>
          <w:color w:val="1E293B"/>
        </w:rPr>
        <w:t xml:space="preserve">De sleutel van de kluis ligt buiten het pand.</w:t>
      </w:r>
      <w:r>
        <w:rPr>
          <w:color w:val="1E293B"/>
        </w:rPr>
        <w:t xml:space="preserve"> De sleutel om de versleuteling te openen staat níet in de database, maar uitsluitend op de eigen applicatieserver (met een reservekopie in de wachtwoordkluis). Wie alleen de database steelt, heeft dus een kluis zonder sleutel: naamloze medische data plus onleesbare tekenbrij.</w:t>
      </w:r>
    </w:p>
    <w:p>
      <w:pPr>
        <w:pStyle w:val="ListParagraph"/>
        <w:numPr>
          <w:ilvl w:val="0"/>
          <w:numId w:val="2"/>
        </w:numPr>
        <w:spacing w:after="80"/>
      </w:pPr>
      <w:r>
        <w:rPr>
          <w:b/>
          <w:bCs/>
          <w:color w:val="1E293B"/>
        </w:rPr>
        <w:t xml:space="preserve">Alleen de applicatie kan de kluis openen, via één deur.</w:t>
      </w:r>
      <w:r>
        <w:rPr>
          <w:color w:val="1E293B"/>
        </w:rPr>
        <w:t xml:space="preserve"> Alle toegang tot de kluis loopt door één centrale plek in de software. De database weigert bovendien elke andere toegang tot de kluistabel — een dubbel slot. Medewerkers zien in het systeem gewoon namen (nodig voor hun werk), maar alleen doordat de applicatie het voor hen ontsleutelt nadat zij zijn ingelogd met tweestapsverificatie.</w:t>
      </w:r>
    </w:p>
    <w:p>
      <w:pPr>
        <w:pStyle w:val="ListParagraph"/>
        <w:numPr>
          <w:ilvl w:val="0"/>
          <w:numId w:val="2"/>
        </w:numPr>
        <w:spacing w:after="80"/>
      </w:pPr>
      <w:r>
        <w:rPr>
          <w:b/>
          <w:bCs/>
          <w:color w:val="1E293B"/>
        </w:rPr>
        <w:t xml:space="preserve">Zoeken zonder te onthullen.</w:t>
      </w:r>
      <w:r>
        <w:rPr>
          <w:color w:val="1E293B"/>
        </w:rPr>
        <w:t xml:space="preserve"> Om een klant op e-mailadres terug te vinden (bijvoorbeeld bij een herhaalbestelling) wordt een onomkeerbare "vingerafdruk" van het adres gebruikt. Matchen kan zo zonder het adres leesbaar op te slaan.</w:t>
      </w:r>
    </w:p>
    <w:p>
      <w:pPr>
        <w:pStyle w:val="Heading1"/>
        <w:spacing w:after="120" w:before="280"/>
      </w:pPr>
      <w:r>
        <w:rPr>
          <w:b/>
          <w:bCs/>
          <w:color w:val="1F1683"/>
        </w:rPr>
        <w:t xml:space="preserve">3. Waartegen beschermt dit?</w:t>
      </w:r>
    </w:p>
    <w:tbl>
      <w:tblPr>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3400"/>
        <w:gridCol w:w="2800"/>
        <w:gridCol w:w="2800"/>
      </w:tblGrid>
      <w:tr>
        <w:trPr>
          <w:tblHeader/>
        </w:trPr>
        <w:tc>
          <w:tcPr>
            <w:tcW w:type="dxa" w:w="3400"/>
            <w:shd w:fill="EEF4FF" w:color="auto" w:val="clear"/>
            <w:tcMar>
              <w:top w:type="dxa" w:w="60"/>
              <w:left w:type="dxa" w:w="100"/>
              <w:bottom w:type="dxa" w:w="60"/>
              <w:right w:type="dxa" w:w="100"/>
            </w:tcMar>
          </w:tcPr>
          <w:p>
            <w:pPr>
              <w:spacing w:after="0"/>
            </w:pPr>
            <w:r>
              <w:rPr>
                <w:b/>
                <w:bCs/>
                <w:color w:val="1F1683"/>
              </w:rPr>
              <w:t xml:space="preserve">Scenario</w:t>
            </w:r>
          </w:p>
        </w:tc>
        <w:tc>
          <w:tcPr>
            <w:tcW w:type="dxa" w:w="2800"/>
            <w:shd w:fill="EEF4FF" w:color="auto" w:val="clear"/>
            <w:tcMar>
              <w:top w:type="dxa" w:w="60"/>
              <w:left w:type="dxa" w:w="100"/>
              <w:bottom w:type="dxa" w:w="60"/>
              <w:right w:type="dxa" w:w="100"/>
            </w:tcMar>
          </w:tcPr>
          <w:p>
            <w:pPr>
              <w:spacing w:after="0"/>
            </w:pPr>
            <w:r>
              <w:rPr>
                <w:b/>
                <w:bCs/>
                <w:color w:val="1F1683"/>
              </w:rPr>
              <w:t xml:space="preserve">Vóór</w:t>
            </w:r>
          </w:p>
        </w:tc>
        <w:tc>
          <w:tcPr>
            <w:tcW w:type="dxa" w:w="2800"/>
            <w:shd w:fill="EEF4FF" w:color="auto" w:val="clear"/>
            <w:tcMar>
              <w:top w:type="dxa" w:w="60"/>
              <w:left w:type="dxa" w:w="100"/>
              <w:bottom w:type="dxa" w:w="60"/>
              <w:right w:type="dxa" w:w="100"/>
            </w:tcMar>
          </w:tcPr>
          <w:p>
            <w:pPr>
              <w:spacing w:after="0"/>
            </w:pPr>
            <w:r>
              <w:rPr>
                <w:b/>
                <w:bCs/>
                <w:color w:val="1F1683"/>
              </w:rPr>
              <w:t xml:space="preserve">Nu</w:t>
            </w:r>
          </w:p>
        </w:tc>
      </w:tr>
      <w:tr>
        <w:tc>
          <w:tcPr>
            <w:tcW w:type="dxa" w:w="3400"/>
            <w:tcMar>
              <w:top w:type="dxa" w:w="60"/>
              <w:left w:type="dxa" w:w="100"/>
              <w:bottom w:type="dxa" w:w="60"/>
              <w:right w:type="dxa" w:w="100"/>
            </w:tcMar>
          </w:tcPr>
          <w:p>
            <w:pPr>
              <w:spacing w:after="0"/>
            </w:pPr>
            <w:r>
              <w:rPr>
                <w:color w:val="1E293B"/>
              </w:rPr>
              <w:t xml:space="preserve">Gestolen database-backup</w:t>
            </w:r>
          </w:p>
        </w:tc>
        <w:tc>
          <w:tcPr>
            <w:tcW w:type="dxa" w:w="2800"/>
            <w:tcMar>
              <w:top w:type="dxa" w:w="60"/>
              <w:left w:type="dxa" w:w="100"/>
              <w:bottom w:type="dxa" w:w="60"/>
              <w:right w:type="dxa" w:w="100"/>
            </w:tcMar>
          </w:tcPr>
          <w:p>
            <w:pPr>
              <w:spacing w:after="0"/>
            </w:pPr>
            <w:r>
              <w:rPr>
                <w:color w:val="1E293B"/>
              </w:rPr>
              <w:t xml:space="preserve">volledige dossiers op naam</w:t>
            </w:r>
          </w:p>
        </w:tc>
        <w:tc>
          <w:tcPr>
            <w:tcW w:type="dxa" w:w="2800"/>
            <w:tcMar>
              <w:top w:type="dxa" w:w="60"/>
              <w:left w:type="dxa" w:w="100"/>
              <w:bottom w:type="dxa" w:w="60"/>
              <w:right w:type="dxa" w:w="100"/>
            </w:tcMar>
          </w:tcPr>
          <w:p>
            <w:pPr>
              <w:spacing w:after="0"/>
            </w:pPr>
            <w:r>
              <w:rPr>
                <w:color w:val="1E293B"/>
              </w:rPr>
              <w:t xml:space="preserve">naamloze dossiers + onleesbare kluis</w:t>
            </w:r>
          </w:p>
        </w:tc>
      </w:tr>
      <w:tr>
        <w:tc>
          <w:tcPr>
            <w:tcW w:type="dxa" w:w="3400"/>
            <w:tcMar>
              <w:top w:type="dxa" w:w="60"/>
              <w:left w:type="dxa" w:w="100"/>
              <w:bottom w:type="dxa" w:w="60"/>
              <w:right w:type="dxa" w:w="100"/>
            </w:tcMar>
          </w:tcPr>
          <w:p>
            <w:pPr>
              <w:spacing w:after="0"/>
            </w:pPr>
            <w:r>
              <w:rPr>
                <w:color w:val="1E293B"/>
              </w:rPr>
              <w:t xml:space="preserve">Gelekt databasewachtwoord / SQL-aanval</w:t>
            </w:r>
          </w:p>
        </w:tc>
        <w:tc>
          <w:tcPr>
            <w:tcW w:type="dxa" w:w="2800"/>
            <w:tcMar>
              <w:top w:type="dxa" w:w="60"/>
              <w:left w:type="dxa" w:w="100"/>
              <w:bottom w:type="dxa" w:w="60"/>
              <w:right w:type="dxa" w:w="100"/>
            </w:tcMar>
          </w:tcPr>
          <w:p>
            <w:pPr>
              <w:spacing w:after="0"/>
            </w:pPr>
            <w:r>
              <w:rPr>
                <w:color w:val="1E293B"/>
              </w:rPr>
              <w:t xml:space="preserve">idem</w:t>
            </w:r>
          </w:p>
        </w:tc>
        <w:tc>
          <w:tcPr>
            <w:tcW w:type="dxa" w:w="2800"/>
            <w:tcMar>
              <w:top w:type="dxa" w:w="60"/>
              <w:left w:type="dxa" w:w="100"/>
              <w:bottom w:type="dxa" w:w="60"/>
              <w:right w:type="dxa" w:w="100"/>
            </w:tcMar>
          </w:tcPr>
          <w:p>
            <w:pPr>
              <w:spacing w:after="0"/>
            </w:pPr>
            <w:r>
              <w:rPr>
                <w:color w:val="1E293B"/>
              </w:rPr>
              <w:t xml:space="preserve">idem</w:t>
            </w:r>
          </w:p>
        </w:tc>
      </w:tr>
      <w:tr>
        <w:tc>
          <w:tcPr>
            <w:tcW w:type="dxa" w:w="3400"/>
            <w:tcMar>
              <w:top w:type="dxa" w:w="60"/>
              <w:left w:type="dxa" w:w="100"/>
              <w:bottom w:type="dxa" w:w="60"/>
              <w:right w:type="dxa" w:w="100"/>
            </w:tcMar>
          </w:tcPr>
          <w:p>
            <w:pPr>
              <w:spacing w:after="0"/>
            </w:pPr>
            <w:r>
              <w:rPr>
                <w:color w:val="1E293B"/>
              </w:rPr>
              <w:t xml:space="preserve">Datalek bij de databaseleverancier</w:t>
            </w:r>
          </w:p>
        </w:tc>
        <w:tc>
          <w:tcPr>
            <w:tcW w:type="dxa" w:w="2800"/>
            <w:tcMar>
              <w:top w:type="dxa" w:w="60"/>
              <w:left w:type="dxa" w:w="100"/>
              <w:bottom w:type="dxa" w:w="60"/>
              <w:right w:type="dxa" w:w="100"/>
            </w:tcMar>
          </w:tcPr>
          <w:p>
            <w:pPr>
              <w:spacing w:after="0"/>
            </w:pPr>
            <w:r>
              <w:rPr>
                <w:color w:val="1E293B"/>
              </w:rPr>
              <w:t xml:space="preserve">idem</w:t>
            </w:r>
          </w:p>
        </w:tc>
        <w:tc>
          <w:tcPr>
            <w:tcW w:type="dxa" w:w="2800"/>
            <w:tcMar>
              <w:top w:type="dxa" w:w="60"/>
              <w:left w:type="dxa" w:w="100"/>
              <w:bottom w:type="dxa" w:w="60"/>
              <w:right w:type="dxa" w:w="100"/>
            </w:tcMar>
          </w:tcPr>
          <w:p>
            <w:pPr>
              <w:spacing w:after="0"/>
            </w:pPr>
            <w:r>
              <w:rPr>
                <w:color w:val="1E293B"/>
              </w:rPr>
              <w:t xml:space="preserve">idem</w:t>
            </w:r>
          </w:p>
        </w:tc>
      </w:tr>
      <w:tr>
        <w:tc>
          <w:tcPr>
            <w:tcW w:type="dxa" w:w="3400"/>
            <w:tcMar>
              <w:top w:type="dxa" w:w="60"/>
              <w:left w:type="dxa" w:w="100"/>
              <w:bottom w:type="dxa" w:w="60"/>
              <w:right w:type="dxa" w:w="100"/>
            </w:tcMar>
          </w:tcPr>
          <w:p>
            <w:pPr>
              <w:spacing w:after="0"/>
            </w:pPr>
            <w:r>
              <w:rPr>
                <w:color w:val="1E293B"/>
              </w:rPr>
              <w:t xml:space="preserve">Medewerker kijkt verder dan nodig</w:t>
            </w:r>
          </w:p>
        </w:tc>
        <w:tc>
          <w:tcPr>
            <w:tcW w:type="dxa" w:w="2800"/>
            <w:tcMar>
              <w:top w:type="dxa" w:w="60"/>
              <w:left w:type="dxa" w:w="100"/>
              <w:bottom w:type="dxa" w:w="60"/>
              <w:right w:type="dxa" w:w="100"/>
            </w:tcMar>
          </w:tcPr>
          <w:p>
            <w:pPr>
              <w:spacing w:after="0"/>
            </w:pPr>
            <w:r>
              <w:rPr>
                <w:color w:val="1E293B"/>
              </w:rPr>
              <w:t xml:space="preserve">mogelijk</w:t>
            </w:r>
          </w:p>
        </w:tc>
        <w:tc>
          <w:tcPr>
            <w:tcW w:type="dxa" w:w="2800"/>
            <w:tcMar>
              <w:top w:type="dxa" w:w="60"/>
              <w:left w:type="dxa" w:w="100"/>
              <w:bottom w:type="dxa" w:w="60"/>
              <w:right w:type="dxa" w:w="100"/>
            </w:tcMar>
          </w:tcPr>
          <w:p>
            <w:pPr>
              <w:spacing w:after="0"/>
            </w:pPr>
            <w:r>
              <w:rPr>
                <w:color w:val="1E293B"/>
              </w:rPr>
              <w:t xml:space="preserve">kluis alleen via de applicatie, met rolcontrole</w:t>
            </w:r>
          </w:p>
        </w:tc>
      </w:tr>
    </w:tbl>
    <w:p>
      <w:pPr>
        <w:spacing w:after="60"/>
      </w:pPr>
    </w:p>
    <w:p>
      <w:pPr>
        <w:spacing w:after="120"/>
      </w:pPr>
      <w:r>
        <w:rPr>
          <w:b/>
          <w:bCs/>
          <w:color w:val="1E293B"/>
        </w:rPr>
        <w:t xml:space="preserve">Restrisico, eerlijk benoemd</w:t>
      </w:r>
      <w:r>
        <w:rPr>
          <w:color w:val="1E293B"/>
        </w:rPr>
        <w:t xml:space="preserve">: tegen een aanvaller die de applicatieserver volledig overneemt beschermt deze maatregel niet — die server moet de sleutel immers zelf kunnen gebruiken. Daarom is parallel de server-omgeving extra beveiligd (firewall-allowlists op het beheerpaneel, tweestapsverificatie, hardening-checklist — zie server-hardening-checklist-v1.0 in dit dossier).</w:t>
      </w:r>
    </w:p>
    <w:p>
      <w:pPr>
        <w:pStyle w:val="Heading1"/>
        <w:spacing w:after="120" w:before="280"/>
      </w:pPr>
      <w:r>
        <w:rPr>
          <w:b/>
          <w:bCs/>
          <w:color w:val="1F1683"/>
        </w:rPr>
        <w:t xml:space="preserve">4. Betekenis voor de AVG-huishouding</w:t>
      </w:r>
    </w:p>
    <w:p>
      <w:pPr>
        <w:pStyle w:val="ListParagraph"/>
        <w:numPr>
          <w:ilvl w:val="0"/>
          <w:numId w:val="1"/>
        </w:numPr>
        <w:spacing w:after="60"/>
      </w:pPr>
      <w:r>
        <w:rPr>
          <w:b/>
          <w:bCs/>
          <w:color w:val="1E293B"/>
        </w:rPr>
        <w:t xml:space="preserve">Passende technische maatregel (art. 32 AVG)</w:t>
      </w:r>
      <w:r>
        <w:rPr>
          <w:color w:val="1E293B"/>
        </w:rPr>
        <w:t xml:space="preserve"> — versleuteling en pseudonimisering van bijzondere persoonsgegevens (gezondheidsgegevens, art. 9 AVG) worden in art. 32 expliciet genoemd als passende maatregelen; deze inrichting geeft daar concreet invulling aan.</w:t>
      </w:r>
    </w:p>
    <w:p>
      <w:pPr>
        <w:pStyle w:val="ListParagraph"/>
        <w:numPr>
          <w:ilvl w:val="0"/>
          <w:numId w:val="1"/>
        </w:numPr>
        <w:spacing w:after="60"/>
      </w:pPr>
      <w:r>
        <w:rPr>
          <w:b/>
          <w:bCs/>
          <w:color w:val="1E293B"/>
        </w:rPr>
        <w:t xml:space="preserve">Datalek-impact wordt kleiner</w:t>
      </w:r>
      <w:r>
        <w:rPr>
          <w:color w:val="1E293B"/>
        </w:rPr>
        <w:t xml:space="preserve"> — bij een database-zijdig incident zijn de medische gegevens niet (direct) tot personen herleidbaar en zijn de identificerende gegevens onleesbaar; relevant voor de beoordeling en melding van een eventueel datalek.</w:t>
      </w:r>
    </w:p>
    <w:p>
      <w:pPr>
        <w:pStyle w:val="ListParagraph"/>
        <w:numPr>
          <w:ilvl w:val="0"/>
          <w:numId w:val="1"/>
        </w:numPr>
        <w:spacing w:after="60"/>
      </w:pPr>
      <w:r>
        <w:rPr>
          <w:b/>
          <w:bCs/>
          <w:color w:val="1E293B"/>
        </w:rPr>
        <w:t xml:space="preserve">Anonimiseren wordt één handeling</w:t>
      </w:r>
      <w:r>
        <w:rPr>
          <w:color w:val="1E293B"/>
        </w:rPr>
        <w:t xml:space="preserve"> — na afronding van een traject en het verstrijken van de bewaartermijn volstaat het verwijderen van één kluisregel; het medische spoor blijft naamloos bestaan voor statistiek (dataminimalisatie). Het bijbehorende retentiebeleid is als vervolgstap gepland.</w:t>
      </w:r>
    </w:p>
    <w:p>
      <w:pPr>
        <w:pStyle w:val="ListParagraph"/>
        <w:numPr>
          <w:ilvl w:val="0"/>
          <w:numId w:val="1"/>
        </w:numPr>
        <w:spacing w:after="60"/>
      </w:pPr>
      <w:r>
        <w:rPr>
          <w:b/>
          <w:bCs/>
          <w:color w:val="1E293B"/>
        </w:rPr>
        <w:t xml:space="preserve">Dataminimalisatie richting het laboratorium</w:t>
      </w:r>
      <w:r>
        <w:rPr>
          <w:color w:val="1E293B"/>
        </w:rPr>
        <w:t xml:space="preserve"> — het lab ontvangt al langer alleen een pseudoniem, geboortedatum en geslacht; nooit een naam.</w:t>
      </w:r>
    </w:p>
    <w:p>
      <w:pPr>
        <w:pStyle w:val="ListParagraph"/>
        <w:numPr>
          <w:ilvl w:val="0"/>
          <w:numId w:val="1"/>
        </w:numPr>
        <w:spacing w:after="60"/>
      </w:pPr>
      <w:r>
        <w:rPr>
          <w:b/>
          <w:bCs/>
          <w:color w:val="1E293B"/>
        </w:rPr>
        <w:t xml:space="preserve">Auditlog blijft onverminderd werken</w:t>
      </w:r>
      <w:r>
        <w:rPr>
          <w:color w:val="1E293B"/>
        </w:rPr>
        <w:t xml:space="preserve"> — de bestaande medische auditlog (wie keek wanneer naar welk dossier, met externe kopie) is onaangetast.</w:t>
      </w:r>
    </w:p>
    <w:p>
      <w:pPr>
        <w:pStyle w:val="ListParagraph"/>
        <w:numPr>
          <w:ilvl w:val="0"/>
          <w:numId w:val="1"/>
        </w:numPr>
        <w:spacing w:after="60"/>
      </w:pPr>
      <w:r>
        <w:rPr>
          <w:b/>
          <w:bCs/>
          <w:color w:val="1E293B"/>
        </w:rPr>
        <w:t xml:space="preserve">Sleutelbeheer is belegd</w:t>
      </w:r>
      <w:r>
        <w:rPr>
          <w:color w:val="1E293B"/>
        </w:rPr>
        <w:t xml:space="preserve"> — de sleutel bestaat op twee plekken (server-omgeving + wachtwoordkluis), rotatie is technisch voorbereid en verlies-scenario’s staan in het implementatieplan beschreven.</w:t>
      </w:r>
    </w:p>
    <w:p>
      <w:pPr>
        <w:pStyle w:val="Heading1"/>
        <w:spacing w:after="120" w:before="280"/>
      </w:pPr>
      <w:r>
        <w:rPr>
          <w:b/>
          <w:bCs/>
          <w:color w:val="1F1683"/>
        </w:rPr>
        <w:t xml:space="preserve">5. Waar staan we nu?</w:t>
      </w:r>
    </w:p>
    <w:p>
      <w:pPr>
        <w:spacing w:after="120"/>
      </w:pPr>
      <w:r>
        <w:rPr>
          <w:color w:val="1E293B"/>
        </w:rPr>
        <w:t xml:space="preserve">De verbouwing is stapsgewijs uitgevoerd, zonder onderbreking voor klanten of medewerkers. Op dit moment wordt nog "dubbel" geschreven (oude én nieuwe plek), zodat elke stap omkeerbaar is. Zodra de laatste controle op productie is afgerond, worden de oude, onversleutelde velden definitief verwijderd — vanaf dat moment is een databasediefstal daadwerkelijk naamloos. Die laatste stap gebeurt gecontroleerd: met een verse backup en een expliciete 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683"/>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PII-kluis — toelichting AVG v1.0</dc:title>
  <dc:creator>Vita Health</dc:creator>
  <cp:lastModifiedBy>Un-named</cp:lastModifiedBy>
  <cp:revision>1</cp:revision>
  <dcterms:created xsi:type="dcterms:W3CDTF">2026-08-13T14:29:47.822Z</dcterms:created>
  <dcterms:modified xsi:type="dcterms:W3CDTF">2026-08-13T14:29:47.829Z</dcterms:modified>
</cp:coreProperties>
</file>

<file path=docProps/custom.xml><?xml version="1.0" encoding="utf-8"?>
<Properties xmlns="http://schemas.openxmlformats.org/officeDocument/2006/custom-properties" xmlns:vt="http://schemas.openxmlformats.org/officeDocument/2006/docPropsVTypes"/>
</file>