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683" w:val="clear"/>
            <w:tcMar>
              <w:top w:type="dxa" w:w="440"/>
              <w:left w:type="dxa" w:w="560"/>
              <w:bottom w:type="dxa" w:w="440"/>
              <w:right w:type="dxa" w:w="5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INTERN DOCUMENT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AVG-compliance actielijst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A5F3FC"/>
                <w:sz w:val="24"/>
                <w:szCs w:val="24"/>
              </w:rPr>
              <w:t xml:space="preserve">Vita Health Platform</w:t>
            </w:r>
          </w:p>
          <w:p>
            <w:r>
              <w:rPr>
                <w:rFonts w:ascii="Arial" w:cs="Arial" w:eastAsia="Arial" w:hAnsi="Arial"/>
                <w:color w:val="BAE6FD"/>
                <w:sz w:val="20"/>
                <w:szCs w:val="20"/>
              </w:rPr>
              <w:t xml:space="preserve">Documentversie 1.0 — 9 juni 2026  ·  platform v1.0.0</w:t>
            </w:r>
          </w:p>
        </w:tc>
      </w:tr>
    </w:tbl>
    <w:p>
      <w:pPr>
        <w:spacing w:after="100" w:before="220"/>
      </w:pP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Deze lijst bundelt alle stappen om het Vita Health Platform aantoonbaar AVG-compliant te maken — organisatorisch, juridisch, technisch en procedureel. Status "Gereed" = al geïmplementeerd, "Deels" = gedeeltelijk, "Open" = nog te doen. Werk de status bij naarmate je vordert.</w:t>
      </w:r>
    </w:p>
    <w:p>
      <w:pPr>
        <w:spacing w:after="40" w:before="4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CA8A04" w:sz="1"/>
              <w:left w:val="single" w:color="CA8A04" w:sz="6"/>
              <w:bottom w:val="single" w:color="CA8A04" w:sz="1"/>
              <w:right w:val="single" w:color="CA8A04" w:sz="1"/>
            </w:tcBorders>
            <w:shd w:fill="FEF9C3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Let op: “volledig AVG-compliant” is geen eenmalig eindpunt maar een doorlopend proces. Laat de grondslagnotitie en DPIA toetsen door een privacyjurist; dit document is een werklijst, geen juridisch advies.</w:t>
            </w:r>
          </w:p>
        </w:tc>
      </w:tr>
    </w:tbl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  <w:color w:val="1F1683"/>
          <w:sz w:val="26"/>
          <w:szCs w:val="26"/>
        </w:rPr>
        <w:t xml:space="preserve">1. Juridische grondslag &amp; governance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De basis: waarom mag je deze gegevens verwerken en wie is waarvoor verantwoordelijk.</w:t>
      </w:r>
    </w:p>
    <w:p>
      <w:pPr>
        <w:spacing w:after="40" w:before="4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6"/>
        <w:gridCol w:w="1300"/>
        <w:gridCol w:w="1300"/>
        <w:gridCol w:w="1600"/>
      </w:tblGrid>
      <w:tr>
        <w:trPr>
          <w:tblHeader/>
        </w:trP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Actie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Prioriteit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Grondslagnotitie opstellen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Per gegevenscategorie: doel, AVG-grondslag (art. 6 + art. 9), bewaartermijn, wie toegang heeft. Laten toetsen door privacyjurist.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Juridisch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Hoog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DPIA uitvoeren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Verplichte data protection impact assessment voor verwerking van gezondheidsgegevens; risico’s + maatregelen vooraf in kaart.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Juridisch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Hoog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Verwerkingsregister aanleggen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Register van verwerkingen (AVG art. 30): doelen, categorieën, ontvangers, bewaartermijnen, beveiliging.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Org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Hoog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FG/DPO-beoordeling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Onderbouwen of een Functionaris Gegevensbescherming nodig is; besluit vastleggen.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Org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Middel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Verwerkingsverantwoordelijke vaststellen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Vastleggen wie verwerkingsverantwoordelijke is en wie verwerker; ook richting opdrachtgevers/klanten.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Juridisch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Hoog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Open</w:t>
            </w:r>
          </w:p>
        </w:tc>
      </w:tr>
    </w:tbl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  <w:color w:val="1F1683"/>
          <w:sz w:val="26"/>
          <w:szCs w:val="26"/>
        </w:rPr>
        <w:t xml:space="preserve">2. Verwerkers &amp; leveranciers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Iedere partij die persoonsgegevens verwerkt heeft een overeenkomst nodig.</w:t>
      </w:r>
    </w:p>
    <w:p>
      <w:pPr>
        <w:spacing w:after="40" w:before="4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6"/>
        <w:gridCol w:w="1300"/>
        <w:gridCol w:w="1300"/>
        <w:gridCol w:w="1600"/>
      </w:tblGrid>
      <w:tr>
        <w:trPr>
          <w:tblHeader/>
        </w:trP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Actie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Prioriteit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Verwerkersovereenkomst Supabase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DPA accepteren/vastleggen; subverwerkers en EU-regio (Ierland) controleren.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Juridisch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Hoog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Verwerkersovereenkomst Resend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E-maildienst verwerkt namen/e-mailadressen → DPA nodig.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Juridisch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Hoog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Verwerkersovereenkomst Better Stack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Externe log-kopie kan persoonsgegevens (gehasht) bevatten → DPA + EU-regio checken.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Juridisch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Middel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Verwerkersovereenkomst hosting (Coolify/server)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Afspraken over toegang, locatie, back-ups en datalekmelding.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Juridisch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Hoog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Subverwerkersregister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Lijst van alle subverwerkers met land, soort data en doel; jaarlijks herzien.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Org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Middel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Geen medische data in support/analytics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Bevestigen dat error tracking, analytics en supporttools geen gezondheidsdata bevatten.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Tech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Middel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Deels</w:t>
            </w:r>
          </w:p>
        </w:tc>
      </w:tr>
    </w:tbl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  <w:color w:val="1F1683"/>
          <w:sz w:val="26"/>
          <w:szCs w:val="26"/>
        </w:rPr>
        <w:t xml:space="preserve">3. Beleid &amp; procedures (documentatie)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De set documenten die je moet kunnen tonen om aantoonbaar zorgvuldig te werken.</w:t>
      </w:r>
    </w:p>
    <w:p>
      <w:pPr>
        <w:spacing w:after="40" w:before="4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6"/>
        <w:gridCol w:w="1300"/>
        <w:gridCol w:w="1300"/>
        <w:gridCol w:w="1600"/>
      </w:tblGrid>
      <w:tr>
        <w:trPr>
          <w:tblHeader/>
        </w:trP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Actie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Prioriteit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Privacyverklaring actueel houden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Begrijpelijk: welke data, doel, grondslag, bewaartermijn, rechten, contact.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Juridisch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Hoog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Deels</w:t>
            </w:r>
          </w:p>
        </w:tc>
      </w:tr>
      <w:t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Bewaar- en verwijderbeleid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Bewaartermijnen per categorie incl. back-ups, exports, logs en testdata.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Org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Hoog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Autorisatiematrix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Welke rol mag welke gegevens zien/wijzigen/exporteren/verwijderen.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Org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Hoog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Datalekprocedure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72-uurs meldproces, triage, contactgegevens AP, communicatiesjabloon.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Org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Hoog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Deels</w:t>
            </w:r>
          </w:p>
        </w:tc>
      </w:tr>
      <w:t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Incidentresponsplan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Technisch draaiboek: account-compromittering, database-/storagelek, ransomware.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Org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Hoog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Deels</w:t>
            </w:r>
          </w:p>
        </w:tc>
      </w:tr>
      <w:t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Toegangsbeheerprocedure (JML)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Joiner/mover/leaver: nieuwe medewerker, functiewijziging, uitdiensttreding.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Org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Middel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Security baseline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Vastleggen: 2FA, wachtwoorden, sessies, patching, dependency scanning, back-ups.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Org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Middel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Deels</w:t>
            </w:r>
          </w:p>
        </w:tc>
      </w:tr>
      <w:t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Responsible disclosure / CVD-beleid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Meldpunt voor kwetsbaarheden door derden.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Org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Laag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Open</w:t>
            </w:r>
          </w:p>
        </w:tc>
      </w:tr>
    </w:tbl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  <w:color w:val="1F1683"/>
          <w:sz w:val="26"/>
          <w:szCs w:val="26"/>
        </w:rPr>
        <w:t xml:space="preserve">4. Technische beveiliging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Maatregelen in de applicatie en infrastructuur.</w:t>
      </w:r>
    </w:p>
    <w:p>
      <w:pPr>
        <w:spacing w:after="40" w:before="4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6"/>
        <w:gridCol w:w="1300"/>
        <w:gridCol w:w="1300"/>
        <w:gridCol w:w="1600"/>
      </w:tblGrid>
      <w:tr>
        <w:trPr>
          <w:tblHeader/>
        </w:trP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Actie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Prioriteit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Tweefactorauthenticatie medewerkers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Verplicht 2FA + automatische uitlog bij inactiviteit.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Tech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Hoog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8"/>
                <w:szCs w:val="18"/>
              </w:rPr>
              <w:t xml:space="preserve">Gereed</w:t>
            </w:r>
          </w:p>
        </w:tc>
      </w:tr>
      <w:t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Row Level Security op gevoelige tabellen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RLS afgedwongen; service-role key alleen server-side.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Tech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Hoog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8"/>
                <w:szCs w:val="18"/>
              </w:rPr>
              <w:t xml:space="preserve">Gereed</w:t>
            </w:r>
          </w:p>
        </w:tc>
      </w:tr>
      <w:t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Invoervalidatie &amp; injectiepreventie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UUID-checks, Zod-validatie, geparametriseerde queries, HTML-escaping.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Tech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Hoog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8"/>
                <w:szCs w:val="18"/>
              </w:rPr>
              <w:t xml:space="preserve">Gereed</w:t>
            </w:r>
          </w:p>
        </w:tc>
      </w:tr>
      <w:t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Supabase SSL enforcement aanzetten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Forceer versleutelde databaseverbindingen.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Tech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Hoog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Supabase network restrictions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Toegang beperken tot bekende IP’s waar mogelijk.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Tech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Middel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Point-in-Time Recovery + hersteltest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PITR aanzetten en periodiek een restore testen.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Tech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Hoog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Applicatielaag-encryptie gevoelige velden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Overweeg extra encryptie voor de gevoeligste data/PDF’s; sleutelbeheer buiten Supabase.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Tech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Middel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Private storage + signed URLs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Documenten in private buckets; downloads via korte signed URLs/backend-proxy.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Tech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Hoog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Deels</w:t>
            </w:r>
          </w:p>
        </w:tc>
      </w:tr>
      <w:t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Security headers &amp; CSP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Content Security Policy en veilige HTTP-headers instellen.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Tech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Middel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Dependency- en secret-scanning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Automatisch scannen op kwetsbare packages en gelekte secrets in Git.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Tech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Middel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Rate limiting op login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Brute-force bescherming actief.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Tech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Middel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8"/>
                <w:szCs w:val="18"/>
              </w:rPr>
              <w:t xml:space="preserve">Gereed</w:t>
            </w:r>
          </w:p>
        </w:tc>
      </w:tr>
    </w:tbl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  <w:color w:val="1F1683"/>
          <w:sz w:val="26"/>
          <w:szCs w:val="26"/>
        </w:rPr>
        <w:t xml:space="preserve">5. Auditing &amp; logging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Aantoonbaar wie wat wanneer deed.</w:t>
      </w:r>
    </w:p>
    <w:p>
      <w:pPr>
        <w:spacing w:after="40" w:before="4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6"/>
        <w:gridCol w:w="1300"/>
        <w:gridCol w:w="1300"/>
        <w:gridCol w:w="1600"/>
      </w:tblGrid>
      <w:tr>
        <w:trPr>
          <w:tblHeader/>
        </w:trP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Actie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Prioriteit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Volledige schrijf-auditing (triggers)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Alle aanmaak/wijziging/verwijdering automatisch gelogd via database-triggers.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Tech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Hoog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8"/>
                <w:szCs w:val="18"/>
              </w:rPr>
              <w:t xml:space="preserve">Gereed</w:t>
            </w:r>
          </w:p>
        </w:tc>
      </w:tr>
      <w:t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Externe, onwijzigbare log-kopie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Log drain naar Better Stack; append-only.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Tech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Hoog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8"/>
                <w:szCs w:val="18"/>
              </w:rPr>
              <w:t xml:space="preserve">Gereed</w:t>
            </w:r>
          </w:p>
        </w:tc>
      </w:tr>
      <w:t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Geautomatiseerde alerts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Bulk-inzage, exports buiten werktijd, e.d.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Tech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Middel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8"/>
                <w:szCs w:val="18"/>
              </w:rPr>
              <w:t xml:space="preserve">Gereed</w:t>
            </w:r>
          </w:p>
        </w:tc>
      </w:tr>
      <w:t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Leesacties verder loggen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Ook PDF-downloads en zoekacties op medische data vastleggen.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Tech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Middel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Deels</w:t>
            </w:r>
          </w:p>
        </w:tc>
      </w:tr>
      <w:t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Logbewaartermijnen vastleggen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Hoe lang auditlogs bewaren (afstemmen op NEN 7513) en wie ze controleert.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Org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Middel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Periodieke logcontrole-procedure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Wekelijkse/maandelijkse steekproef en opvolging van alerts.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Org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Middel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Open</w:t>
            </w:r>
          </w:p>
        </w:tc>
      </w:tr>
    </w:tbl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  <w:color w:val="1F1683"/>
          <w:sz w:val="26"/>
          <w:szCs w:val="26"/>
        </w:rPr>
        <w:t xml:space="preserve">6. Toegang &amp; dataminimalisatie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Zo min mogelijk data, voor zo min mogelijk mensen.</w:t>
      </w:r>
    </w:p>
    <w:p>
      <w:pPr>
        <w:spacing w:after="40" w:before="4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6"/>
        <w:gridCol w:w="1300"/>
        <w:gridCol w:w="1300"/>
        <w:gridCol w:w="1600"/>
      </w:tblGrid>
      <w:tr>
        <w:trPr>
          <w:tblHeader/>
        </w:trP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Actie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Prioriteit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Least privilege doorvoeren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Rollen zo smal mogelijk; admin niet automatisch medische inzage.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Tech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Middel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Deels</w:t>
            </w:r>
          </w:p>
        </w:tc>
      </w:tr>
      <w:t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Break-glass-toegang met reden + logging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Noodtoegang alleen met reden, MFA en extra logging.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Tech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Laag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Periodieke toegangsreview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Elk kwartaal controleren wie welke toegang heeft.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Org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Middel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BSN vermijden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Geen BSN opslaan tenzij wettelijk verplicht/bevoegd.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Juridisch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Hoog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Testdata: geen productiegegevens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Aparte dev/staging; synthetische testdata; geen echte gezondheidsdata in test.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Tech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Hoog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Open</w:t>
            </w:r>
          </w:p>
        </w:tc>
      </w:tr>
    </w:tbl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  <w:color w:val="1F1683"/>
          <w:sz w:val="26"/>
          <w:szCs w:val="26"/>
        </w:rPr>
        <w:t xml:space="preserve">7. Betrokkenenrechten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Processen om aan verzoeken van deelnemers te voldoen.</w:t>
      </w:r>
    </w:p>
    <w:p>
      <w:pPr>
        <w:spacing w:after="40" w:before="4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6"/>
        <w:gridCol w:w="1300"/>
        <w:gridCol w:w="1300"/>
        <w:gridCol w:w="1600"/>
      </w:tblGrid>
      <w:tr>
        <w:trPr>
          <w:tblHeader/>
        </w:trP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Actie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Prioriteit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Proces inzageverzoek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Termijn (1 maand), identiteitscheck, overzicht van verwerkte gegevens.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Org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Hoog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Proces correctie &amp; verwijdering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Inclusief verwijdering uit back-ups en logs waar passend.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Org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Hoog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Proces bezwaar &amp; intrekken toestemming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Toestemming intrekken is al mogelijk; proces formeel vastleggen.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Org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Middel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Deels</w:t>
            </w:r>
          </w:p>
        </w:tc>
      </w:tr>
      <w:t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Inzage “wie keek in mijn dossier”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Patiëntvriendelijke weergave uit het auditlog beschikbaar maken.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Tech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Laag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Open</w:t>
            </w:r>
          </w:p>
        </w:tc>
      </w:tr>
    </w:tbl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  <w:color w:val="1F1683"/>
          <w:sz w:val="26"/>
          <w:szCs w:val="26"/>
        </w:rPr>
        <w:t xml:space="preserve">8. Datalek &amp; incidentrespons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Snel en correct handelen bij een incident.</w:t>
      </w:r>
    </w:p>
    <w:p>
      <w:pPr>
        <w:spacing w:after="40" w:before="4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6"/>
        <w:gridCol w:w="1300"/>
        <w:gridCol w:w="1300"/>
        <w:gridCol w:w="1600"/>
      </w:tblGrid>
      <w:tr>
        <w:trPr>
          <w:tblHeader/>
        </w:trP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Actie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Prioriteit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Noodplan actueel houden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Draaiboek om inlogs te stoppen, sessies te beëindigen, app offline te halen.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Org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Hoog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8"/>
                <w:szCs w:val="18"/>
              </w:rPr>
              <w:t xml:space="preserve">Gereed</w:t>
            </w:r>
          </w:p>
        </w:tc>
      </w:tr>
      <w:t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Datalekregister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Alle datalekken vastleggen, ook de niet-meldplichtige.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Org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Hoog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Incident-oefening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Minimaal jaarlijks een datalek-scenario oefenen.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Org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Middel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Open</w:t>
            </w:r>
          </w:p>
        </w:tc>
      </w:tr>
    </w:tbl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  <w:color w:val="1F1683"/>
          <w:sz w:val="26"/>
          <w:szCs w:val="26"/>
        </w:rPr>
        <w:t xml:space="preserve">9. Mensen &amp; organisatie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Beveiliging is ook gedrag en afspraken.</w:t>
      </w:r>
    </w:p>
    <w:p>
      <w:pPr>
        <w:spacing w:after="40" w:before="4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6"/>
        <w:gridCol w:w="1300"/>
        <w:gridCol w:w="1300"/>
        <w:gridCol w:w="1600"/>
      </w:tblGrid>
      <w:tr>
        <w:trPr>
          <w:tblHeader/>
        </w:trP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Actie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Prioriteit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Geheimhoudingsverklaringen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Iedereen met toegang tot persoonsgegevens tekent geheimhouding.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Org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Hoog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Privacy- &amp; securitytraining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Periodieke bewustwording voor alle medewerkers.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Org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Middel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Verantwoordelijke aanwijzen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Eigenaar van privacy/security binnen de organisatie benoemen.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Org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Middel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Open</w:t>
            </w:r>
          </w:p>
        </w:tc>
      </w:tr>
    </w:tbl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  <w:color w:val="1F1683"/>
          <w:sz w:val="26"/>
          <w:szCs w:val="26"/>
        </w:rPr>
        <w:t xml:space="preserve">10. Assurance &amp; testen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Onafhankelijk aantonen dat het klopt.</w:t>
      </w:r>
    </w:p>
    <w:p>
      <w:pPr>
        <w:spacing w:after="40" w:before="4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6"/>
        <w:gridCol w:w="1300"/>
        <w:gridCol w:w="1300"/>
        <w:gridCol w:w="1600"/>
      </w:tblGrid>
      <w:tr>
        <w:trPr>
          <w:tblHeader/>
        </w:trP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Actie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Prioriteit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Externe pentest + hertest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Penetratietest vóór brede uitrol; hertest na fixes.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Tech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Hoog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OWASP ASVS als toetskader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Niveau 2 als minimum, niveau 3 voor de gevoeligste onderdelen.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Tech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Middel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Code review auth/autorisatie &amp; RLS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Gerichte review van de toegangslaag.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Tech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Middel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Deels</w:t>
            </w:r>
          </w:p>
        </w:tc>
      </w:tr>
      <w:t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NEN 7510/7513 gap-analyse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Ontwerp toetsen aan de zorgnormen.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Org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Middel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Open</w:t>
            </w:r>
          </w:p>
        </w:tc>
      </w:tr>
    </w:tbl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  <w:color w:val="1F1683"/>
          <w:sz w:val="26"/>
          <w:szCs w:val="26"/>
        </w:rPr>
        <w:t xml:space="preserve">11. Wettelijk kader (breder)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Naast de AVG kunnen meer regels gelden.</w:t>
      </w:r>
    </w:p>
    <w:p>
      <w:pPr>
        <w:spacing w:after="40" w:before="4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6"/>
        <w:gridCol w:w="1300"/>
        <w:gridCol w:w="1300"/>
        <w:gridCol w:w="1600"/>
      </w:tblGrid>
      <w:tr>
        <w:trPr>
          <w:tblHeader/>
        </w:trP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Actie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Prioriteit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NEN 7510/7512/7513 toepassen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Informatiebeveiliging, veilige uitwisseling en toegangslogging in de zorg.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Juridisch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Middel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NIS2 / Cyberbeveiligingswet checken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Laten toetsen of de organisatie hieronder valt (zorgplicht/meldplicht).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Juridisch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Middel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WGBO-aspecten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Behandelrelatie, informatieplicht en dossierplicht waar van toepassing.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Juridisch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Laag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Open</w:t>
            </w:r>
          </w:p>
        </w:tc>
      </w:tr>
    </w:tbl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  <w:color w:val="1F1683"/>
          <w:sz w:val="26"/>
          <w:szCs w:val="26"/>
        </w:rPr>
        <w:t xml:space="preserve">12. Aansprakelijkheid &amp; verzekering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Risico’s afdekken die je niet volledig kunt voorkomen.</w:t>
      </w:r>
    </w:p>
    <w:p>
      <w:pPr>
        <w:spacing w:after="40" w:before="4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6"/>
        <w:gridCol w:w="1300"/>
        <w:gridCol w:w="1300"/>
        <w:gridCol w:w="1600"/>
      </w:tblGrid>
      <w:tr>
        <w:trPr>
          <w:tblHeader/>
        </w:trP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Actie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Prioriteit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Cyberverzekering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Dekking voor datalek/incidenten overwegen.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Org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Middel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Beroeps-/bedrijfsaansprakelijkheid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Passende verzekering afsluiten.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Org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Middel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Klantovereenkomst &amp; rolverdeling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Vastleggen wie verwerkingsverantwoordelijke is; aansprakelijkheid beperken waar toegestaan.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Juridisch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Middel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Open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Werklijst — geen juridisch advies  |  Pagina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Vita Health Platform  |  AVG-compliance actielijst</w:t>
    </w:r>
    <w:r>
      <w:rPr>
        <w:rFonts w:ascii="Arial" w:cs="Arial" w:eastAsia="Arial" w:hAnsi="Arial"/>
        <w:b/>
        <w:bCs/>
        <w:color w:val="DC2626"/>
        <w:sz w:val="16"/>
        <w:szCs w:val="16"/>
      </w:rPr>
      <w:t xml:space="preserve">  —  INTERN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40"/>
      <w:outlineLvl w:val="0"/>
    </w:pPr>
    <w:rPr>
      <w:rFonts w:ascii="Arial" w:cs="Arial" w:eastAsia="Arial" w:hAnsi="Arial"/>
      <w:b/>
      <w:bCs/>
      <w:color w:val="1F168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2026-06-09T12:08:51.123Z</dcterms:created>
  <dcterms:modified xsi:type="dcterms:W3CDTF">2026-06-09T12:08:51.128Z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