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 — INTERN DOCUMENT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Subverwerkersregister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Vita Health Platform — verwerkers en hun subverwerkers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Documentversie 1.1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18 augustus 2026 — vervangt v1.0 (concept, 9 juni 2026)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bijgewerkt met afgesloten VO’s/DPA’s — ter toetsing door de AVG-functionaris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Bewijsstukken: docs/avg-compliance/02-verwerkers-leveranciers/ (incl. dpa-vaststellingen.md)</w:t>
      </w:r>
    </w:p>
    <w:p>
      <w:r>
        <w:br w:type="page"/>
      </w:r>
    </w:p>
    <w:p>
      <w:pPr>
        <w:spacing w:after="120"/>
      </w:pPr>
      <w:r>
        <w:rPr>
          <w:color w:val="1E293B"/>
        </w:rPr>
        <w:t xml:space="preserve">Overzicht van alle partijen die namens Vita Health persoonsgegevens verwerken, met per partij de gegevenscategorieën, regio/doorgifte en de status van de verwerkersovereenkomst. Herzie minimaal jaarlijks (ingepland in de jaarplanning beveiliging, augustus).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Verwerkers van Vita Health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750"/>
        <w:gridCol w:w="1850"/>
        <w:gridCol w:w="2450"/>
        <w:gridCol w:w="1500"/>
        <w:gridCol w:w="1800"/>
      </w:tblGrid>
      <w:tr>
        <w:trPr>
          <w:tblHeader/>
        </w:trPr>
        <w:tc>
          <w:tcPr>
            <w:tcW w:type="dxa" w:w="175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Verwerker</w:t>
            </w:r>
          </w:p>
        </w:tc>
        <w:tc>
          <w:tcPr>
            <w:tcW w:type="dxa" w:w="185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Dienst</w:t>
            </w:r>
          </w:p>
        </w:tc>
        <w:tc>
          <w:tcPr>
            <w:tcW w:type="dxa" w:w="245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Soort gegevens</w:t>
            </w:r>
          </w:p>
        </w:tc>
        <w:tc>
          <w:tcPr>
            <w:tcW w:type="dxa" w:w="1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Regio / doorgifte</w:t>
            </w:r>
          </w:p>
        </w:tc>
        <w:tc>
          <w:tcPr>
            <w:tcW w:type="dxa" w:w="18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Overeenkomst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Supabase (Supabase Pte. Ltd)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Database, auth, opslag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Alle platformdata; identiteiten uitsluitend versleuteld (PII-kluis), medische data pseudoniem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EU-hosting; TIA aanwezig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DPA v1 (aug 2026) + TIA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TransIP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VPS-hosting (control-plane + app-server)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Alle gegevens passeren de applicatieserver; omgevingssleutels op de servers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VO v8 + subverwerkers-overeenkomst v6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Zivver B.V.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Beveiligde e-mail (uitslagen)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Medische rapporten + naam, e-mail, telefoon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NL/EU; NTA 7516-gecertificeerd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Standaard-DPA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Nebius B.V. (Token Factory)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AI-inferentie (adviesgeneratie)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Pseudonieme casusdocumenten: leeftijd, geslacht, vragenlijst, biomarkers — geen naam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EU-endpoints; Zero Data Retention AAN (geen opslag na verwerking)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DPA (NL-recht, voorziet in art. 9-data)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Resend, Inc.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Transactionele e-mail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Naam, e-mailadres; factuur-PDF als bijlage (naam/adres)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VS — SCC’s in DPA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Ondertekende DPA + SOC 2 Type II + pentest-attestatie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Better Stack, Inc.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Externe auditlog-kopie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Pseudoniem: gebruikers-ids, acties, gehashte IP’s — geen medische inhoud (conform hun “no sensitive data”-uitgangspunt)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VS/EU (zie Schedule A) — SCC’s in DPA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Standaard-DPA (25-02-2025) + Schedule A — geregeld, 18-08-2026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Nightingale Health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Laboratoriumanalyse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Bloedsample + pseudoniem Subject-ID, geboortedatum, geslacht, samplecode — geen naam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EU (Finland)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— VO/data-processing-bijlage opvragen via labcontract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Subverwerkers van onze verwerkers</w:t>
      </w:r>
    </w:p>
    <w:p>
      <w:pPr>
        <w:spacing w:after="120"/>
      </w:pPr>
      <w:r>
        <w:rPr>
          <w:color w:val="1E293B"/>
        </w:rPr>
        <w:t xml:space="preserve">Per verwerker de bij ons bekende subverwerkers (bron: hun gepubliceerde lijsten, opgeslagen als PDF in het dossier):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100"/>
        <w:gridCol w:w="5300"/>
        <w:gridCol w:w="1950"/>
      </w:tblGrid>
      <w:tr>
        <w:trPr>
          <w:tblHeader/>
        </w:trPr>
        <w:tc>
          <w:tcPr>
            <w:tcW w:type="dxa" w:w="21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Verwerker</w:t>
            </w:r>
          </w:p>
        </w:tc>
        <w:tc>
          <w:tcPr>
            <w:tcW w:type="dxa" w:w="53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Subverwerkers (kern)</w:t>
            </w:r>
          </w:p>
        </w:tc>
        <w:tc>
          <w:tcPr>
            <w:tcW w:type="dxa" w:w="195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Bron in dossier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AWS (infrastructuur, EU-regio) e.a. — zie DPA/TIA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dpa-supabase + TIA-pdf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Nebius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Nebius-groepsmaatschappijen (zie gepubliceerde lijst met ingangsdatums)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subverwerkers-nebius.pdf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Resend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AWS (VS) e.a. — zie DPA-annex/website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resend-dpa-signed.pdf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Better Stack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AWS (VS), Google Ireland, Cloudflare, Hetzner (EU), FrontApp, Chartmogul, Linear, Slack, OpenAI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subverwerkers-betterstack.pdf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TransIP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Zie subverwerkersovereenkomst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svo-transip-v6.pdf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Zivver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Zie DPA-bijlagen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dpa-zivver.pdf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NB Better Stack noemt o.a. OpenAI als subverwerker voor eigen AI-functies; onze auditlog-kopie bevat bewust geen medische inhoud of klare persoonsgegevens, waardoor dit geen bijzondere-categorie-doorgifte oplevert.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Zelfstandig verwerkingsverantwoordelijken (geen verwerker)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1E293B"/>
        </w:rPr>
        <w:t xml:space="preserve">Mollie</w:t>
      </w:r>
      <w:r>
        <w:rPr>
          <w:color w:val="1E293B"/>
        </w:rPr>
        <w:t xml:space="preserve"> — vergunninghoudende betaalinstelling; voor de betaalverwerking zelfstandig verwerkingsverantwoordelijke. Wij delen: e-mail wordt níet gedeeld; Mollie ontvangt het betaalverzoek en de klant rekent rechtstreeks bij Mollie af.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1E293B"/>
        </w:rPr>
        <w:t xml:space="preserve">PostNL</w:t>
      </w:r>
      <w:r>
        <w:rPr>
          <w:color w:val="1E293B"/>
        </w:rPr>
        <w:t xml:space="preserve"> — vervoerder; zelfstandig verwerkingsverantwoordelijke voor de bezorging. Wij delen: naam en adres op het verzendlabel.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1E293B"/>
        </w:rPr>
        <w:t xml:space="preserve">GitHub / Coolify</w:t>
      </w:r>
      <w:r>
        <w:rPr>
          <w:color w:val="1E293B"/>
        </w:rPr>
        <w:t xml:space="preserve"> — geen verwerker: repository bevat alleen code; Coolify is zelf-gehost.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Beheer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Bewijsstukken (DPA’s, subverwerkerslijsten, assurance-rapporten) staan in </w:t>
      </w:r>
      <w:r>
        <w:rPr>
          <w:rFonts w:ascii="Consolas" w:cs="Consolas" w:eastAsia="Consolas" w:hAnsi="Consolas"/>
          <w:color w:val="1F1683"/>
        </w:rPr>
        <w:t xml:space="preserve">docs/avg-compliance/02-verwerkers-leveranciers/</w:t>
      </w:r>
      <w:r>
        <w:rPr>
          <w:color w:val="1E293B"/>
        </w:rPr>
        <w:t xml:space="preserve">; de totstandkoming per partij staat in </w:t>
      </w:r>
      <w:r>
        <w:rPr>
          <w:rFonts w:ascii="Consolas" w:cs="Consolas" w:eastAsia="Consolas" w:hAnsi="Consolas"/>
          <w:color w:val="1F1683"/>
        </w:rPr>
        <w:t xml:space="preserve">dpa-vaststellingen.md</w:t>
      </w:r>
      <w:r>
        <w:rPr>
          <w:color w:val="1E293B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Jaarlijkse herziening is ingepland in de jaarplanning beveiliging (augustus): versies controleren, nieuwe subverwerker-aankondigingen verwerken.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Bij een wijziging van leverancier of dienst: eerst dit register en de VO-status bijwerken, dan pas live.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Subverwerkersregister — v1.1</dc:title>
  <dc:creator>Vita Health</dc:creator>
  <cp:lastModifiedBy>Un-named</cp:lastModifiedBy>
  <cp:revision>1</cp:revision>
  <dcterms:created xsi:type="dcterms:W3CDTF">2026-08-18T14:59:06.670Z</dcterms:created>
  <dcterms:modified xsi:type="dcterms:W3CDTF">2026-08-18T14:59:06.689Z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