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00"/>
              <w:left w:type="dxa" w:w="520"/>
              <w:bottom w:type="dxa" w:w="40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INSTRUCTIE — INTERN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Supabase hardening — stap voor stap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— 9 juni 2026</w:t>
            </w:r>
          </w:p>
        </w:tc>
      </w:tr>
    </w:tbl>
    <w:p>
      <w:pPr>
        <w:spacing w:after="80" w:before="160"/>
      </w:pPr>
    </w:p>
    <w:p>
      <w:pPr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Concrete instelstappen in het Supabase-dashboard voor SSL enforcement, network restrictions en Point-in-Time Recovery. De exacte bewoording in de interface kan licht afwijken; de menupaden kloppen op hoofdlijnen. Voer ze één voor één uit en werk de status in de checklist bij.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7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Tip: open je project in het Supabase-dashboard (supabase.com/dashboard) en houd dit document ernaast. Test na elke wijziging of de app nog werkt.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F1683"/>
          <w:sz w:val="25"/>
          <w:szCs w:val="25"/>
        </w:rPr>
        <w:t xml:space="preserve">1. SSL enforcement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Dwingt versleutelde databaseverbindingen af. De Vita Health-app gebruikt al SSL, dus dit heeft geen impact op de werking.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je project → klik linksonder op Project Settings (tandwiel).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Ga naar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Zoek het kopje "SSL Configuration" (of "Enforce SSL on incoming connections").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Zet de schakelaar "Enforce SSL" AAN en bevestig/Save.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FFBEB" w:val="clear"/>
            <w:tcMar>
              <w:top w:type="dxa" w:w="100"/>
              <w:left w:type="dxa" w:w="17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Let op: gebruik je externe tools (bijv. pg_dump voor back-ups of een SQL-client), zorg dan dat die "sslmode=require" gebruiken — anders worden die verbindingen geweigerd.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F1683"/>
          <w:sz w:val="25"/>
          <w:szCs w:val="25"/>
        </w:rPr>
        <w:t xml:space="preserve">2. Network restrictions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Beperkt directe databasetoegang tot bekende IP-adressen. Let op: de app praat via de Supabase JS-client (HTTPS naar *.supabase.co), niet via directe databaseverbindingen — network restrictions raken vooral directe psql-/pooler-toegang en beheertools.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Project Settings →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Zoek het kopje "Network Restrictions".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Voeg EERST je eigen beheer-IP en het server-IP (Coolify) toe als toegestaan.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Voeg overige vertrouwde IP-adressen toe.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Activeer de restricties en sla op.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EF4444" w:sz="1"/>
              <w:left w:val="single" w:color="EF4444" w:sz="6"/>
              <w:bottom w:val="single" w:color="EF4444" w:sz="1"/>
              <w:right w:val="single" w:color="EF4444" w:sz="1"/>
            </w:tcBorders>
            <w:shd w:fill="FEF2F2" w:val="clear"/>
            <w:tcMar>
              <w:top w:type="dxa" w:w="100"/>
              <w:left w:type="dxa" w:w="17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Waarschuwing: voeg je eigen IP toe vóórdat je restricties activeert, anders sluit je jezelf buiten. Heb je een wisselend IP-adres, overweeg dan of deze maatregel praktisch is, of gebruik een vaste uitgaande IP/VPN.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F1683"/>
          <w:sz w:val="25"/>
          <w:szCs w:val="25"/>
        </w:rPr>
        <w:t xml:space="preserve">3. Point-in-Time Recovery (PITR)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Continue back-up waarmee je tot op de seconde kunt herstellen. Vereist het Pro-plan (of hoger).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Controleer of het project op het Pro-plan zit (Project Settings → Billing). Upgrade indien nodig.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Project Settings → Database (of Database → Backups).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Zoek "Point in Time Recovery" en schakel dit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Controleer de ingestelde retentie (bijv. 7 dagen) en pas aan indien gewenst.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3B82F6" w:sz="1"/>
              <w:left w:val="single" w:color="3B82F6" w:sz="6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7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Naast PITR maakt Supabase ook dagelijkse back-ups op betaalde plannen. Leg de gekozen retentie vast in het bewaar- en verwijderbeleid.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F1683"/>
          <w:sz w:val="25"/>
          <w:szCs w:val="25"/>
        </w:rPr>
        <w:t xml:space="preserve">4. Restore-test (periodiek)</w:t>
      </w:r>
    </w:p>
    <w:p>
      <w:pPr>
        <w:spacing w:after="50" w:before="5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Een back-up is pas betrouwbaar als je het herstel hebt getest. Doe dit minimaal halfjaarlijks.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Kies een hersteltijdstip (PITR) of een dagelijkse back-up.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Herstel naar een apart test-/staging-project (niet over productie heen).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Controleer of de data klopt en de app tegen de herstelde database werkt.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Leg datum, uitvoerder en resultaat vast (bijv. in map 10 — Assurance &amp; testen).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1683"/>
          <w:sz w:val="25"/>
          <w:szCs w:val="25"/>
        </w:rPr>
        <w:t xml:space="preserve">Na afloop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Werk de statussen bij in supabase-hardening-checklist (map 04).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Test de app: inloggen, cliënt openen, uitslag uploaden/downloaden.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Noteer de PITR-retentie in het bewaarbeleid (map 03).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Instructie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Supabase hardening — instructie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2026-06-09T13:04:25.815Z</dcterms:created>
  <dcterms:modified xsi:type="dcterms:W3CDTF">2026-06-09T13:04:25.820Z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