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rPr>
          <w:b/>
          <w:bCs/>
          <w:color w:val="1F1683"/>
          <w:spacing w:val="60"/>
          <w:sz w:val="24"/>
          <w:szCs w:val="24"/>
        </w:rPr>
        <w:t xml:space="preserve">VITA HEALTH</w:t>
      </w:r>
    </w:p>
    <w:p>
      <w:pPr>
        <w:pBdr>
          <w:bottom w:val="single" w:color="04B788" w:sz="18"/>
        </w:pBdr>
        <w:spacing w:after="0" w:before="40"/>
      </w:pPr>
    </w:p>
    <w:p>
      <w:pPr>
        <w:spacing w:after="0" w:before="260"/>
      </w:pPr>
      <w:r>
        <w:rPr>
          <w:b/>
          <w:bCs/>
          <w:color w:val="1E293B"/>
          <w:sz w:val="52"/>
          <w:szCs w:val="52"/>
        </w:rPr>
        <w:t xml:space="preserve">PII-kluis</w:t>
      </w:r>
    </w:p>
    <w:p>
      <w:pPr>
        <w:spacing w:after="0" w:before="120"/>
      </w:pPr>
      <w:r>
        <w:rPr>
          <w:color w:val="64748B"/>
          <w:sz w:val="28"/>
          <w:szCs w:val="28"/>
        </w:rPr>
        <w:t xml:space="preserve">Gefaseerd implementatieplan — scheiding van persoonsgegevens en medische gegevens</w:t>
      </w:r>
    </w:p>
    <w:p>
      <w:pPr>
        <w:spacing w:after="0" w:before="900"/>
      </w:pPr>
      <w:r>
        <w:rPr>
          <w:b/>
          <w:bCs/>
          <w:color w:val="1E293B"/>
          <w:sz w:val="24"/>
          <w:szCs w:val="24"/>
        </w:rPr>
        <w:t xml:space="preserve">Versie 1.1</w:t>
      </w:r>
    </w:p>
    <w:p>
      <w:pPr>
        <w:spacing w:after="0" w:before="40"/>
      </w:pPr>
      <w:r>
        <w:rPr>
          <w:color w:val="64748B"/>
          <w:sz w:val="22"/>
          <w:szCs w:val="22"/>
        </w:rPr>
        <w:t xml:space="preserve">Datum: 13 augustus 2026</w:t>
      </w:r>
    </w:p>
    <w:p>
      <w:pPr>
        <w:spacing w:after="0" w:before="40"/>
      </w:pPr>
      <w:r>
        <w:rPr>
          <w:color w:val="64748B"/>
          <w:sz w:val="22"/>
          <w:szCs w:val="22"/>
        </w:rPr>
        <w:t xml:space="preserve">Status: fasen 0–3 afgerond (13 augustus 2026); fase 4 gepland</w:t>
      </w:r>
    </w:p>
    <w:p>
      <w:pPr>
        <w:spacing w:after="0" w:before="40"/>
      </w:pPr>
      <w:r>
        <w:rPr>
          <w:color w:val="64748B"/>
          <w:sz w:val="22"/>
          <w:szCs w:val="22"/>
        </w:rPr>
        <w:t xml:space="preserve">Rollback-anker: git-tag pre-pii-kluis (commit 80923c3)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  <w:color w:val="1F1683"/>
        </w:rPr>
        <w:t xml:space="preserve">Inhoudsopgave</w:t>
      </w:r>
    </w:p>
    <w:sdt>
      <w:sdtPr>
        <w:alias w:val="Inhoud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80"/>
      </w:pPr>
      <w:r>
        <w:rPr>
          <w:b/>
          <w:bCs/>
          <w:color w:val="1F1683"/>
        </w:rPr>
        <w:t xml:space="preserve">0. Uitvoeringsstatus (v1.1)</w:t>
      </w:r>
    </w:p>
    <w:tbl>
      <w:tblPr>
        <w:tblW w:type="dxa" w:w="900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600"/>
        <w:gridCol w:w="3400"/>
      </w:tblGrid>
      <w:tr>
        <w:trPr>
          <w:tblHeader/>
        </w:trPr>
        <w:tc>
          <w:tcPr>
            <w:tcW w:type="dxa" w:w="5600"/>
            <w:shd w:fill="EE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1683"/>
              </w:rPr>
              <w:t xml:space="preserve">Fase</w:t>
            </w:r>
          </w:p>
        </w:tc>
        <w:tc>
          <w:tcPr>
            <w:tcW w:type="dxa" w:w="3400"/>
            <w:shd w:fill="EE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1683"/>
              </w:rPr>
              <w:t xml:space="preserve">Status</w:t>
            </w:r>
          </w:p>
        </w:tc>
      </w:tr>
      <w:tr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0 — Fundament (crypto, toegangslaag, migratie 077)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Afgerond</w:t>
            </w:r>
          </w:p>
        </w:tc>
      </w:tr>
      <w:tr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1 — Dubbelschrijven + backfill (29/29 geverifieerd)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Afgerond</w:t>
            </w:r>
          </w:p>
        </w:tc>
      </w:tr>
      <w:tr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2 — Alle leesflows via de kluis (migratie 078)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Afgerond</w:t>
            </w:r>
          </w:p>
        </w:tc>
      </w:tr>
      <w:tr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3 — PII-kolommen gedropt (migraties 079 + 080)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Afgerond — slotcontrole bevestigd</w:t>
            </w:r>
          </w:p>
        </w:tc>
      </w:tr>
      <w:tr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4 — Rotatieprocedure, retentie/anonimisering, audit bulk-ontsleuteling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Gepland</w:t>
            </w:r>
          </w:p>
        </w:tc>
      </w:tr>
      <w:tr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5 — Optioneel: vh_order.buyer_*, aanvraag-PII, notitie-beleid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Optioneel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color w:val="1E293B"/>
        </w:rPr>
        <w:t xml:space="preserve">Sinds 13 augustus 2026 bestaan naam, adres, e-mail, telefoon en geboortedatum uitsluitend versleuteld in de kluis; vh_client bevat alleen nog id, subject_ref, gender, enrollment_status en created_at. Een databasedump is naamloos. Het point of no return (migratie 080) is gepasseerd — herstel van vóór dat moment kan alleen nog via een databasebackup.</w:t>
      </w:r>
    </w:p>
    <w:p>
      <w:pPr>
        <w:pStyle w:val="Heading1"/>
        <w:spacing w:after="120" w:before="280"/>
      </w:pPr>
      <w:r>
        <w:rPr>
          <w:b/>
          <w:bCs/>
          <w:color w:val="1F1683"/>
        </w:rPr>
        <w:t xml:space="preserve">1. Doel en dreigingsmodel</w:t>
      </w:r>
    </w:p>
    <w:p>
      <w:pPr>
        <w:spacing w:after="120"/>
      </w:pPr>
      <w:r>
        <w:rPr>
          <w:color w:val="1E293B"/>
        </w:rPr>
        <w:t xml:space="preserve">Herleidbare persoonsgegevens (naam, adres, e-mail, telefoon, geboortedatum) worden gescheiden van de medische gegevens (uitslagen, vragenlijsten, adviezen) opgeslagen in een aparte, </w:t>
      </w:r>
      <w:r>
        <w:rPr>
          <w:b/>
          <w:bCs/>
          <w:color w:val="1E293B"/>
        </w:rPr>
        <w:t xml:space="preserve">versleutelde identiteitskluis</w:t>
      </w:r>
      <w:r>
        <w:rPr>
          <w:color w:val="1E293B"/>
        </w:rPr>
        <w:t xml:space="preserve">. De versleutelingssleutel staat buiten de database. Dit verkleint de kans dat een aanvaller die de database (of een backup) bemachtigt, gegevens tot een echte persoon kan herleiden.</w:t>
      </w:r>
    </w:p>
    <w:tbl>
      <w:tblPr>
        <w:tblW w:type="dxa" w:w="900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3300"/>
        <w:gridCol w:w="2850"/>
        <w:gridCol w:w="2850"/>
      </w:tblGrid>
      <w:tr>
        <w:trPr>
          <w:tblHeader/>
        </w:trPr>
        <w:tc>
          <w:tcPr>
            <w:tcW w:type="dxa" w:w="3300"/>
            <w:shd w:fill="EE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1683"/>
              </w:rPr>
              <w:t xml:space="preserve">Scenario</w:t>
            </w:r>
          </w:p>
        </w:tc>
        <w:tc>
          <w:tcPr>
            <w:tcW w:type="dxa" w:w="2850"/>
            <w:shd w:fill="EE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1683"/>
              </w:rPr>
              <w:t xml:space="preserve">Zonder kluis</w:t>
            </w:r>
          </w:p>
        </w:tc>
        <w:tc>
          <w:tcPr>
            <w:tcW w:type="dxa" w:w="2850"/>
            <w:shd w:fill="EE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1683"/>
              </w:rPr>
              <w:t xml:space="preserve">Met kluis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Gestolen database-dump/backup</w:t>
            </w:r>
          </w:p>
        </w:tc>
        <w:tc>
          <w:tcPr>
            <w:tcW w:type="dxa" w:w="2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volledige dossiers met naam</w:t>
            </w:r>
          </w:p>
        </w:tc>
        <w:tc>
          <w:tcPr>
            <w:tcW w:type="dxa" w:w="2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naamloze dossiers + onleesbare kluis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Gelekte DB-credentials / SQL-injectie</w:t>
            </w:r>
          </w:p>
        </w:tc>
        <w:tc>
          <w:tcPr>
            <w:tcW w:type="dxa" w:w="2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idem</w:t>
            </w:r>
          </w:p>
        </w:tc>
        <w:tc>
          <w:tcPr>
            <w:tcW w:type="dxa" w:w="2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idem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Gelekte service_role-sleutel</w:t>
            </w:r>
          </w:p>
        </w:tc>
        <w:tc>
          <w:tcPr>
            <w:tcW w:type="dxa" w:w="2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alles leesbaar</w:t>
            </w:r>
          </w:p>
        </w:tc>
        <w:tc>
          <w:tcPr>
            <w:tcW w:type="dxa" w:w="2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medisch spoor leesbaar, identiteiten niet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Te ruime interne toegang</w:t>
            </w:r>
          </w:p>
        </w:tc>
        <w:tc>
          <w:tcPr>
            <w:tcW w:type="dxa" w:w="2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mogelijk</w:t>
            </w:r>
          </w:p>
        </w:tc>
        <w:tc>
          <w:tcPr>
            <w:tcW w:type="dxa" w:w="2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kluis alleen via service_role + app-sleutel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Gecompromitteerde appserver</w:t>
            </w:r>
          </w:p>
        </w:tc>
        <w:tc>
          <w:tcPr>
            <w:tcW w:type="dxa" w:w="2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alles</w:t>
            </w:r>
          </w:p>
        </w:tc>
        <w:tc>
          <w:tcPr>
            <w:tcW w:type="dxa" w:w="2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alles — hiertegen beschermen 2FA/CSP/auditing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1F1683"/>
        </w:rPr>
        <w:t xml:space="preserve">2. Eindbeeld</w:t>
      </w:r>
    </w:p>
    <w:p>
      <w:pPr>
        <w:pStyle w:val="Heading2"/>
        <w:spacing w:after="80" w:before="200"/>
      </w:pPr>
      <w:r>
        <w:rPr>
          <w:b/>
          <w:bCs/>
          <w:color w:val="1E293B"/>
        </w:rPr>
        <w:t xml:space="preserve">2.1 Datamodel</w:t>
      </w:r>
    </w:p>
    <w:p>
      <w:pPr>
        <w:spacing w:after="120"/>
      </w:pPr>
      <w:r>
        <w:rPr>
          <w:rFonts w:ascii="Consolas" w:cs="Consolas" w:eastAsia="Consolas" w:hAnsi="Consolas"/>
          <w:color w:val="1F1683"/>
        </w:rPr>
        <w:t xml:space="preserve">vh_client</w:t>
      </w:r>
      <w:r>
        <w:rPr>
          <w:color w:val="1E293B"/>
        </w:rPr>
        <w:t xml:space="preserve"> blijft de spil (alle bestaande koppelingen via </w:t>
      </w:r>
      <w:r>
        <w:rPr>
          <w:rFonts w:ascii="Consolas" w:cs="Consolas" w:eastAsia="Consolas" w:hAnsi="Consolas"/>
          <w:color w:val="1F1683"/>
        </w:rPr>
        <w:t xml:space="preserve">client_id</w:t>
      </w:r>
      <w:r>
        <w:rPr>
          <w:color w:val="1E293B"/>
        </w:rPr>
        <w:t xml:space="preserve"> blijven ongewijzigd) maar wordt pseudoniem: alleen </w:t>
      </w:r>
      <w:r>
        <w:rPr>
          <w:rFonts w:ascii="Consolas" w:cs="Consolas" w:eastAsia="Consolas" w:hAnsi="Consolas"/>
          <w:color w:val="1F1683"/>
        </w:rPr>
        <w:t xml:space="preserve">id</w:t>
      </w:r>
      <w:r>
        <w:rPr>
          <w:color w:val="1E293B"/>
        </w:rPr>
        <w:t xml:space="preserve">, </w:t>
      </w:r>
      <w:r>
        <w:rPr>
          <w:rFonts w:ascii="Consolas" w:cs="Consolas" w:eastAsia="Consolas" w:hAnsi="Consolas"/>
          <w:color w:val="1F1683"/>
        </w:rPr>
        <w:t xml:space="preserve">subject_ref</w:t>
      </w:r>
      <w:r>
        <w:rPr>
          <w:color w:val="1E293B"/>
        </w:rPr>
        <w:t xml:space="preserve">, </w:t>
      </w:r>
      <w:r>
        <w:rPr>
          <w:rFonts w:ascii="Consolas" w:cs="Consolas" w:eastAsia="Consolas" w:hAnsi="Consolas"/>
          <w:color w:val="1F1683"/>
        </w:rPr>
        <w:t xml:space="preserve">gender</w:t>
      </w:r>
      <w:r>
        <w:rPr>
          <w:color w:val="1E293B"/>
        </w:rPr>
        <w:t xml:space="preserve">, </w:t>
      </w:r>
      <w:r>
        <w:rPr>
          <w:rFonts w:ascii="Consolas" w:cs="Consolas" w:eastAsia="Consolas" w:hAnsi="Consolas"/>
          <w:color w:val="1F1683"/>
        </w:rPr>
        <w:t xml:space="preserve">enrollment_status</w:t>
      </w:r>
      <w:r>
        <w:rPr>
          <w:color w:val="1E293B"/>
        </w:rPr>
        <w:t xml:space="preserve">, </w:t>
      </w:r>
      <w:r>
        <w:rPr>
          <w:rFonts w:ascii="Consolas" w:cs="Consolas" w:eastAsia="Consolas" w:hAnsi="Consolas"/>
          <w:color w:val="1F1683"/>
        </w:rPr>
        <w:t xml:space="preserve">created_at</w:t>
      </w:r>
      <w:r>
        <w:rPr>
          <w:color w:val="1E293B"/>
        </w:rPr>
        <w:t xml:space="preserve">. De herleidbare velden verhuizen naar </w:t>
      </w:r>
      <w:r>
        <w:rPr>
          <w:rFonts w:ascii="Consolas" w:cs="Consolas" w:eastAsia="Consolas" w:hAnsi="Consolas"/>
          <w:color w:val="1F1683"/>
        </w:rPr>
        <w:t xml:space="preserve">vh_client_identity</w:t>
      </w:r>
      <w:r>
        <w:rPr>
          <w:color w:val="1E293B"/>
        </w:rPr>
        <w:t xml:space="preserve">:</w:t>
      </w:r>
    </w:p>
    <w:p>
      <w:pPr>
        <w:spacing w:after="3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vh_client_identity</w:t>
      </w:r>
    </w:p>
    <w:p>
      <w:pPr>
        <w:spacing w:after="3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client_id      uuid PK, FK -&gt; vh_client (on delete cascade)</w:t>
      </w:r>
    </w:p>
    <w:p>
      <w:pPr>
        <w:spacing w:after="3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first_name_enc / last_name_enc / email_enc / phone_enc      (AES-256-GCM)</w:t>
      </w:r>
    </w:p>
    <w:p>
      <w:pPr>
        <w:spacing w:after="3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birth_date_enc / address_enc / postal_code_enc / city_enc   (AES-256-GCM)</w:t>
      </w:r>
    </w:p>
    <w:p>
      <w:pPr>
        <w:spacing w:after="3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email_hash     HMAC-SHA256 (lookups zonder leesbaar adres)</w:t>
      </w:r>
    </w:p>
    <w:p>
      <w:pPr>
        <w:spacing w:after="3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created_at / updated_at</w:t>
      </w:r>
    </w:p>
    <w:p>
      <w:pPr>
        <w:spacing w:after="60"/>
      </w:pPr>
    </w:p>
    <w:p>
      <w:pPr>
        <w:pStyle w:val="Heading2"/>
        <w:spacing w:after="80" w:before="200"/>
      </w:pPr>
      <w:r>
        <w:rPr>
          <w:b/>
          <w:bCs/>
          <w:color w:val="1E293B"/>
        </w:rPr>
        <w:t xml:space="preserve">2.2 Cryptografie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293B"/>
        </w:rPr>
        <w:t xml:space="preserve">Per veld AES-256-GCM met willekeurige nonce en versieprefix (</w:t>
      </w:r>
      <w:r>
        <w:rPr>
          <w:rFonts w:ascii="Consolas" w:cs="Consolas" w:eastAsia="Consolas" w:hAnsi="Consolas"/>
          <w:color w:val="1F1683"/>
        </w:rPr>
        <w:t xml:space="preserve">v1:…</w:t>
      </w:r>
      <w:r>
        <w:rPr>
          <w:color w:val="1E293B"/>
        </w:rPr>
        <w:t xml:space="preserve">) voor sleutelrotatie.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293B"/>
        </w:rPr>
        <w:t xml:space="preserve">AAD (additional authenticated data) = </w:t>
      </w:r>
      <w:r>
        <w:rPr>
          <w:rFonts w:ascii="Consolas" w:cs="Consolas" w:eastAsia="Consolas" w:hAnsi="Consolas"/>
          <w:color w:val="1F1683"/>
        </w:rPr>
        <w:t xml:space="preserve">client_id:veldnaam</w:t>
      </w:r>
      <w:r>
        <w:rPr>
          <w:color w:val="1E293B"/>
        </w:rPr>
        <w:t xml:space="preserve"> — ciphertext kan niet tussen rijen of velden verwisseld worden.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color w:val="1F1683"/>
        </w:rPr>
        <w:t xml:space="preserve">email_hash</w:t>
      </w:r>
      <w:r>
        <w:rPr>
          <w:color w:val="1E293B"/>
        </w:rPr>
        <w:t xml:space="preserve"> = HMAC-SHA256 over het genormaliseerde e-mailadres; vervangt de </w:t>
      </w:r>
      <w:r>
        <w:rPr>
          <w:rFonts w:ascii="Consolas" w:cs="Consolas" w:eastAsia="Consolas" w:hAnsi="Consolas"/>
          <w:color w:val="1F1683"/>
        </w:rPr>
        <w:t xml:space="preserve">ilike</w:t>
      </w:r>
      <w:r>
        <w:rPr>
          <w:color w:val="1E293B"/>
        </w:rPr>
        <w:t xml:space="preserve">-lookups.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293B"/>
        </w:rPr>
        <w:t xml:space="preserve">Sleutels </w:t>
      </w:r>
      <w:r>
        <w:rPr>
          <w:rFonts w:ascii="Consolas" w:cs="Consolas" w:eastAsia="Consolas" w:hAnsi="Consolas"/>
          <w:color w:val="1F1683"/>
        </w:rPr>
        <w:t xml:space="preserve">PII_ENCRYPTION_KEY</w:t>
      </w:r>
      <w:r>
        <w:rPr>
          <w:color w:val="1E293B"/>
        </w:rPr>
        <w:t xml:space="preserve"> en </w:t>
      </w:r>
      <w:r>
        <w:rPr>
          <w:rFonts w:ascii="Consolas" w:cs="Consolas" w:eastAsia="Consolas" w:hAnsi="Consolas"/>
          <w:color w:val="1F1683"/>
        </w:rPr>
        <w:t xml:space="preserve">PII_HASH_KEY</w:t>
      </w:r>
      <w:r>
        <w:rPr>
          <w:color w:val="1E293B"/>
        </w:rPr>
        <w:t xml:space="preserve"> (elk 32 bytes) uitsluitend in de server-omgeving (Coolify) — nooit in de database, git of NEXT_PUBLIC_*.</w:t>
      </w:r>
    </w:p>
    <w:p>
      <w:pPr>
        <w:pStyle w:val="Heading2"/>
        <w:spacing w:after="80" w:before="200"/>
      </w:pPr>
      <w:r>
        <w:rPr>
          <w:b/>
          <w:bCs/>
          <w:color w:val="1E293B"/>
        </w:rPr>
        <w:t xml:space="preserve">2.3 Toegang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color w:val="1F1683"/>
        </w:rPr>
        <w:t xml:space="preserve">vh_client_identity</w:t>
      </w:r>
      <w:r>
        <w:rPr>
          <w:color w:val="1E293B"/>
        </w:rPr>
        <w:t xml:space="preserve">: RLS aan zonder policies + revoke voor </w:t>
      </w:r>
      <w:r>
        <w:rPr>
          <w:rFonts w:ascii="Consolas" w:cs="Consolas" w:eastAsia="Consolas" w:hAnsi="Consolas"/>
          <w:color w:val="1F1683"/>
        </w:rPr>
        <w:t xml:space="preserve">anon</w:t>
      </w:r>
      <w:r>
        <w:rPr>
          <w:color w:val="1E293B"/>
        </w:rPr>
        <w:t xml:space="preserve">/</w:t>
      </w:r>
      <w:r>
        <w:rPr>
          <w:rFonts w:ascii="Consolas" w:cs="Consolas" w:eastAsia="Consolas" w:hAnsi="Consolas"/>
          <w:color w:val="1F1683"/>
        </w:rPr>
        <w:t xml:space="preserve">authenticated</w:t>
      </w:r>
      <w:r>
        <w:rPr>
          <w:color w:val="1E293B"/>
        </w:rPr>
        <w:t xml:space="preserve"> → alleen </w:t>
      </w:r>
      <w:r>
        <w:rPr>
          <w:rFonts w:ascii="Consolas" w:cs="Consolas" w:eastAsia="Consolas" w:hAnsi="Consolas"/>
          <w:color w:val="1F1683"/>
        </w:rPr>
        <w:t xml:space="preserve">service_role</w:t>
      </w:r>
      <w:r>
        <w:rPr>
          <w:color w:val="1E293B"/>
        </w:rPr>
        <w:t xml:space="preserve">, en alleen de app kan ontsleutelen (dubbel slot).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293B"/>
        </w:rPr>
        <w:t xml:space="preserve">Alle toegang via één toegangslaag: </w:t>
      </w:r>
      <w:r>
        <w:rPr>
          <w:rFonts w:ascii="Consolas" w:cs="Consolas" w:eastAsia="Consolas" w:hAnsi="Consolas"/>
          <w:color w:val="1F1683"/>
        </w:rPr>
        <w:t xml:space="preserve">lib/pii/identity.ts</w:t>
      </w:r>
      <w:r>
        <w:rPr>
          <w:color w:val="1E293B"/>
        </w:rPr>
        <w:t xml:space="preserve"> (server-only): getIdentity, getIdentities (batch), findClientIdByEmail, upsertIdentity.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293B"/>
        </w:rPr>
        <w:t xml:space="preserve">Bijeffect: anonimiseren van een afgerond dossier = één kluisrij verwijderen; het medische spoor blijft naamloos bestaan.</w:t>
      </w:r>
    </w:p>
    <w:p>
      <w:pPr>
        <w:pStyle w:val="Heading1"/>
        <w:spacing w:after="120" w:before="280"/>
      </w:pPr>
      <w:r>
        <w:rPr>
          <w:b/>
          <w:bCs/>
          <w:color w:val="1F1683"/>
        </w:rPr>
        <w:t xml:space="preserve">3. Fasering</w:t>
      </w:r>
    </w:p>
    <w:p>
      <w:pPr>
        <w:pStyle w:val="Heading2"/>
        <w:spacing w:after="80" w:before="200"/>
      </w:pPr>
      <w:r>
        <w:rPr>
          <w:b/>
          <w:bCs/>
          <w:color w:val="1E293B"/>
        </w:rPr>
        <w:t xml:space="preserve">Fase 0 — Fundament (additief, geen gedragswijziging)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E293B"/>
        </w:rPr>
        <w:t xml:space="preserve">Sleutels genereren; in Coolify en </w:t>
      </w:r>
      <w:r>
        <w:rPr>
          <w:rFonts w:ascii="Consolas" w:cs="Consolas" w:eastAsia="Consolas" w:hAnsi="Consolas"/>
          <w:color w:val="1F1683"/>
        </w:rPr>
        <w:t xml:space="preserve">.env.local</w:t>
      </w:r>
      <w:r>
        <w:rPr>
          <w:color w:val="1E293B"/>
        </w:rPr>
        <w:t xml:space="preserve"> zetten.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1F1683"/>
        </w:rPr>
        <w:t xml:space="preserve">lib/pii/crypto.ts</w:t>
      </w:r>
      <w:r>
        <w:rPr>
          <w:color w:val="1E293B"/>
        </w:rPr>
        <w:t xml:space="preserve">: encryptField/decryptField (AES-256-GCM + AAD + versieprefix) en emailHash(); geverifieerd met round-trip-, tamper- en stabiliteitstests.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1F1683"/>
        </w:rPr>
        <w:t xml:space="preserve">lib/pii/identity.ts</w:t>
      </w:r>
      <w:r>
        <w:rPr>
          <w:color w:val="1E293B"/>
        </w:rPr>
        <w:t xml:space="preserve">: de toegangslaag tot de kluis.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E293B"/>
        </w:rPr>
        <w:t xml:space="preserve">Migratie 077: kluis-tabel + grants dichtzetten (tabel blijft leeg).</w:t>
      </w:r>
    </w:p>
    <w:p>
      <w:pPr>
        <w:spacing w:after="120"/>
      </w:pPr>
      <w:r>
        <w:rPr>
          <w:color w:val="1E293B"/>
        </w:rPr>
        <w:t xml:space="preserve">Rollback: triviaal — niets gebruikt de kluis nog.</w:t>
      </w:r>
    </w:p>
    <w:p>
      <w:pPr>
        <w:pStyle w:val="Heading2"/>
        <w:spacing w:after="80" w:before="200"/>
      </w:pPr>
      <w:r>
        <w:rPr>
          <w:b/>
          <w:bCs/>
          <w:color w:val="1E293B"/>
        </w:rPr>
        <w:t xml:space="preserve">Fase 1 — Dubbelschrijven + backfill (oude kolommen blijven leidend)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1E293B"/>
        </w:rPr>
        <w:t xml:space="preserve">Alle PII-schrijfpaden vullen beide kanten: oude kolommen én kluis (settleOrderPaid, cliënt-bewerken, uitnodigen-flow, portal-personalia).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1E293B"/>
        </w:rPr>
        <w:t xml:space="preserve">Portal-personalia verhuist van de browser-RPC (portal_register_client) naar een server route die versleutelt en schrijft — tevens de geparkeerde P1-3-refactor voor deze stap.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1E293B"/>
        </w:rPr>
        <w:t xml:space="preserve">Eenmalige backfill: bestaande cliënten versleuteld naar de kluis + email_hash.</w:t>
      </w:r>
    </w:p>
    <w:p>
      <w:pPr>
        <w:spacing w:after="120"/>
      </w:pPr>
      <w:r>
        <w:rPr>
          <w:color w:val="1E293B"/>
        </w:rPr>
        <w:t xml:space="preserve">Verificatie: kluisrij aanwezig én ontsleutelbaar voor elke cliënt; counts gelijk. Rollback: kluis negeren.</w:t>
      </w:r>
    </w:p>
    <w:p>
      <w:pPr>
        <w:pStyle w:val="Heading2"/>
        <w:spacing w:after="80" w:before="200"/>
      </w:pPr>
      <w:r>
        <w:rPr>
          <w:b/>
          <w:bCs/>
          <w:color w:val="1E293B"/>
        </w:rPr>
        <w:t xml:space="preserve">Fase 2 — Leesflows omzetten (per spoor deploybaar)</w:t>
      </w:r>
    </w:p>
    <w:tbl>
      <w:tblPr>
        <w:tblW w:type="dxa" w:w="900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700"/>
        <w:gridCol w:w="7300"/>
      </w:tblGrid>
      <w:tr>
        <w:trPr>
          <w:tblHeader/>
        </w:trPr>
        <w:tc>
          <w:tcPr>
            <w:tcW w:type="dxa" w:w="1700"/>
            <w:shd w:fill="EE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1683"/>
              </w:rPr>
              <w:t xml:space="preserve">Spoor</w:t>
            </w:r>
          </w:p>
        </w:tc>
        <w:tc>
          <w:tcPr>
            <w:tcW w:type="dxa" w:w="7300"/>
            <w:shd w:fill="EE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1683"/>
              </w:rPr>
              <w:t xml:space="preserve">Wijziging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2a Portal/intake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resolve_intake_token en get_enrollment_status_by_token geven client_id/ciphertext i.p.v. klare PII; de server components ontsleutelen via de toegangslaag.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2b Betaalmuur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fulfil.ts en resume-link zoeken via email_hash; factuur/e-mail halen naam via de toegangslaag.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2c Admin-UI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Cliëntenlijst, aanvragen, testkits, dossier: batch-ophalen via getIdentities() na de bestaande rolcheck; naam-zoeken in de app-laag.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2d Exports/e-mail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Batch-export (geboortedatum/geslacht), secure delivery en e-mailtemplates lezen via de toegangslaag (alles al server-side).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color w:val="1E293B"/>
        </w:rPr>
        <w:t xml:space="preserve">Rollback per spoor: terugvallen op de oude kolommen.</w:t>
      </w:r>
    </w:p>
    <w:p>
      <w:pPr>
        <w:pStyle w:val="Heading2"/>
        <w:spacing w:after="80" w:before="200"/>
      </w:pPr>
      <w:r>
        <w:rPr>
          <w:b/>
          <w:bCs/>
          <w:color w:val="1E293B"/>
        </w:rPr>
        <w:t xml:space="preserve">Fase 3 — Scheiding afdwingen (point of no return)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color w:val="1E293B"/>
        </w:rPr>
        <w:t xml:space="preserve">Controle dat geen codepath de oude kolommen nog leest (grep + regressieronde op de testomgeving).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color w:val="1E293B"/>
        </w:rPr>
        <w:t xml:space="preserve">Migratie 078: PII-kolommen droppen uit vh_client; RPC’s en audit-triggers bijwerken.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color w:val="1E293B"/>
        </w:rPr>
        <w:t xml:space="preserve">types/index.ts: Client wordt pseudoniem; identiteit apart type.</w:t>
      </w:r>
    </w:p>
    <w:p>
      <w:pPr>
        <w:spacing w:after="120"/>
      </w:pPr>
      <w:r>
        <w:rPr>
          <w:color w:val="1E293B"/>
        </w:rPr>
        <w:t xml:space="preserve">Vanaf hier is een databasedump naamloos. Uitvoeren ná een volledige regressieronde; voorafgaand een database-backup nemen.</w:t>
      </w:r>
    </w:p>
    <w:p>
      <w:pPr>
        <w:pStyle w:val="Heading2"/>
        <w:spacing w:after="80" w:before="200"/>
      </w:pPr>
      <w:r>
        <w:rPr>
          <w:b/>
          <w:bCs/>
          <w:color w:val="1E293B"/>
        </w:rPr>
        <w:t xml:space="preserve">Fase 4 — Flankerend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293B"/>
        </w:rPr>
        <w:t xml:space="preserve">Sleutelrotatieprocedure (nieuwe sleutel als v2:, lazy her-encryptie, batch-job).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293B"/>
        </w:rPr>
        <w:t xml:space="preserve">Retentiebeleid: afgerond traject + verstreken termijn → kluisrij wissen = geanonimiseerd.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293B"/>
        </w:rPr>
        <w:t xml:space="preserve">Auditlog-event bij bulk-ontsleuteling (exports) — centraal in de toegangslaag.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293B"/>
        </w:rPr>
        <w:t xml:space="preserve">Beveiligingsdocumentatie bijwerken (nieuwe versie beveiligingsmaatregelen-document).</w:t>
      </w:r>
    </w:p>
    <w:p>
      <w:pPr>
        <w:pStyle w:val="Heading2"/>
        <w:spacing w:after="80" w:before="200"/>
      </w:pPr>
      <w:r>
        <w:rPr>
          <w:b/>
          <w:bCs/>
          <w:color w:val="1E293B"/>
        </w:rPr>
        <w:t xml:space="preserve">Fase 5 — Optioneel, later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293B"/>
        </w:rPr>
        <w:t xml:space="preserve">vh_order.buyer_* + order-e-mail: financiële administratie met eigen grondslag (factuurplicht); desgewenst later versleutelen met dezelfde helper.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293B"/>
        </w:rPr>
        <w:t xml:space="preserve">Beleid vrije-tekstvelden (vh_client_note): geen herleidbare gegevens in vrije tekst.</w:t>
      </w:r>
    </w:p>
    <w:p>
      <w:pPr>
        <w:pStyle w:val="Heading1"/>
        <w:spacing w:after="120" w:before="280"/>
      </w:pPr>
      <w:r>
        <w:rPr>
          <w:b/>
          <w:bCs/>
          <w:color w:val="1F1683"/>
        </w:rPr>
        <w:t xml:space="preserve">4. Rollback-strategie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E293B"/>
        </w:rPr>
        <w:t xml:space="preserve">Codebuild</w:t>
      </w:r>
      <w:r>
        <w:rPr>
          <w:color w:val="1E293B"/>
        </w:rPr>
        <w:t xml:space="preserve"> — git-tag </w:t>
      </w:r>
      <w:r>
        <w:rPr>
          <w:rFonts w:ascii="Consolas" w:cs="Consolas" w:eastAsia="Consolas" w:hAnsi="Consolas"/>
          <w:color w:val="1F1683"/>
        </w:rPr>
        <w:t xml:space="preserve">pre-pii-kluis</w:t>
      </w:r>
      <w:r>
        <w:rPr>
          <w:color w:val="1E293B"/>
        </w:rPr>
        <w:t xml:space="preserve"> markeert de laatste build vóór dit traject; elke fase is een losse commit; terugrollen = eerdere commit deployen.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E293B"/>
        </w:rPr>
        <w:t xml:space="preserve">Database</w:t>
      </w:r>
      <w:r>
        <w:rPr>
          <w:color w:val="1E293B"/>
        </w:rPr>
        <w:t xml:space="preserve"> — fases 0–2 zijn puur additief; een oudere build draait er gewoon naast. Het enige destructieve moment is fase 3 (kolommen droppen) — daarvóór: backup + expliciete go/no-go.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E293B"/>
        </w:rPr>
        <w:t xml:space="preserve">Sleutels</w:t>
      </w:r>
      <w:r>
        <w:rPr>
          <w:color w:val="1E293B"/>
        </w:rPr>
        <w:t xml:space="preserve"> — verlies van PII_ENCRYPTION_KEY = verlies van de identiteiten; de sleutel wordt bij aanmaak op een tweede veilige plek bewaard (wachtwoordmanager).</w:t>
      </w:r>
    </w:p>
    <w:p>
      <w:pPr>
        <w:pStyle w:val="Heading1"/>
        <w:spacing w:after="120" w:before="280"/>
      </w:pPr>
      <w:r>
        <w:rPr>
          <w:b/>
          <w:bCs/>
          <w:color w:val="1F1683"/>
        </w:rPr>
        <w:t xml:space="preserve">5. Inschatting</w:t>
      </w:r>
    </w:p>
    <w:tbl>
      <w:tblPr>
        <w:tblW w:type="dxa" w:w="900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500"/>
        <w:gridCol w:w="5000"/>
        <w:gridCol w:w="2500"/>
      </w:tblGrid>
      <w:tr>
        <w:trPr>
          <w:tblHeader/>
        </w:trPr>
        <w:tc>
          <w:tcPr>
            <w:tcW w:type="dxa" w:w="1500"/>
            <w:shd w:fill="EE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1683"/>
              </w:rPr>
              <w:t xml:space="preserve">Fase</w:t>
            </w:r>
          </w:p>
        </w:tc>
        <w:tc>
          <w:tcPr>
            <w:tcW w:type="dxa" w:w="5000"/>
            <w:shd w:fill="EE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1683"/>
              </w:rPr>
              <w:t xml:space="preserve">Omvang</w:t>
            </w:r>
          </w:p>
        </w:tc>
        <w:tc>
          <w:tcPr>
            <w:tcW w:type="dxa" w:w="2500"/>
            <w:shd w:fill="EE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1683"/>
              </w:rPr>
              <w:t xml:space="preserve">Risico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0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klein (helper + migratie + tests)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geen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1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middel (4 schrijfplekken + backfill + P1-3-route)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laag (additief)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2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grootste deel (~57 bestanden, grotendeels mechanisch)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laag per spoor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3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klein maar definitief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gecontroleerd moment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4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klein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geen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1683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E293B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PII-kluis — implementatieplan v1.1</dc:title>
  <dc:creator>Vita Health</dc:creator>
  <cp:lastModifiedBy>Un-named</cp:lastModifiedBy>
  <cp:revision>1</cp:revision>
  <dcterms:created xsi:type="dcterms:W3CDTF">2026-08-13T15:37:01.877Z</dcterms:created>
  <dcterms:modified xsi:type="dcterms:W3CDTF">2026-08-13T15:37:01.890Z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