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Vita Health platform — architectuur (toelichting)</w:t>
      </w:r>
    </w:p>
    <w:p>
      <w:pPr>
        <w:spacing w:after="60"/>
      </w:pPr>
      <w:r>
        <w:rPr>
          <w:color w:val="64748B"/>
          <w:sz w:val="22"/>
          <w:szCs w:val="22"/>
        </w:rPr>
        <w:t xml:space="preserve">Versie 1.0 · juli 2026</w:t>
      </w:r>
    </w:p>
    <w:p>
      <w:pPr>
        <w:pBdr>
          <w:bottom w:val="single" w:color="C7D7FD" w:sz="6" w:space="6"/>
        </w:pBdr>
        <w:spacing w:after="220"/>
      </w:pPr>
    </w:p>
    <w:p>
      <w:pPr>
        <w:spacing w:after="120"/>
      </w:pPr>
      <w:r>
        <w:t xml:space="preserve">Dit document licht de technische architectuur van het Vita Health platform toe. De bijbehorende schema’s staan in het document architectuur-vita-health-v1.0 (Schema 1 t/m 3); de verwijzingen hieronder wijzen naar die schema’s.</w:t>
      </w:r>
    </w:p>
    <w:p>
      <w:pPr>
        <w:pStyle w:val="Heading2"/>
      </w:pPr>
      <w:r>
        <w:t xml:space="preserve">1. Overzicht (Schema 1)</w:t>
      </w:r>
    </w:p>
    <w:p>
      <w:pPr>
        <w:spacing w:after="120"/>
      </w:pPr>
      <w:r>
        <w:t xml:space="preserve">Het platform bestaat uit drie lagen: de gebruikers, de applicatie op TransIP, en de diensten en data die in de EU worden gehost.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Gebruikers: </w:t>
      </w:r>
      <w:r>
        <w:t xml:space="preserve">het medewerkersportaal (platform.vita-health.nl) achter login met verplichte 2FA, het toekomstige klantportaal (ikwilgraageentest.vita-health.nl) en de marketingwebsite.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Applicatie (TransIP, EU): </w:t>
      </w:r>
      <w:r>
        <w:t xml:space="preserve">twee servers — Coolify bouwt en deployt, de live server draait de Next.js 16 standalone-build.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Diensten &amp; data (EU): </w:t>
      </w:r>
      <w:r>
        <w:t xml:space="preserve">Supabase (Postgres met row-level security, Auth met MFA, Storage, pgvector en het auditlog-schema) en Nebius/Token Factory (chat-LLM en embeddings voor de AI-laag).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Externe koppelingen: </w:t>
      </w:r>
      <w:r>
        <w:t xml:space="preserve">Resend (e-mail), Better Stack (tamper-proof kopie van het auditlog), Nightingale Health (labanalyse in Finland) en Zivver (beveiligde levering van uitslagen).</w:t>
      </w:r>
    </w:p>
    <w:p>
      <w:pPr>
        <w:spacing w:after="120"/>
      </w:pPr>
      <w:r>
        <w:t xml:space="preserve">Beveiliging: alle verbindingen lopen via HTTPS/TLS met HSTS, een Content-Security-Policy en beveiligingsheaders. Gezondheidsdata valt onder AVG artikel 9 en blijft in EU-datacentra; naar Nebius gaat uitsluitend gepseudonimiseerde data.</w:t>
      </w:r>
    </w:p>
    <w:p>
      <w:pPr>
        <w:pStyle w:val="Heading2"/>
      </w:pPr>
      <w:r>
        <w:t xml:space="preserve">2. AI-kennisbank (Schema 2)</w:t>
      </w:r>
    </w:p>
    <w:p>
      <w:pPr>
        <w:spacing w:after="120"/>
      </w:pPr>
      <w:r>
        <w:t xml:space="preserve">De AI-laag werkt volgens Retrieval-Augmented Generation (RAG): kennis wordt geïndexeerd en bij een advies opgehaald. Het model zelf wordt niet op de data getraind — "trainen" betekent hier het toevoegen van kennis aan de kennisbank.</w:t>
      </w:r>
    </w:p>
    <w:p>
      <w:pPr>
        <w:spacing w:after="120"/>
      </w:pPr>
      <w:r>
        <w:rPr>
          <w:b/>
          <w:bCs/>
        </w:rPr>
        <w:t xml:space="preserve">Indexeren (kennis toevoegen):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Bronnen: </w:t>
      </w:r>
      <w:r>
        <w:t xml:space="preserve">handmatig ingevoerde kennis, ingelezen documenten (pdf, docx, txt, md, rtf) of een gepseudonimiseerde casus uit een cliëntdossier.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Chunken: </w:t>
      </w:r>
      <w:r>
        <w:t xml:space="preserve">chunkText knipt de tekst in fragmenten van circa 800 tekens; koppen worden herkend en als context aan elk fragment meegegeven.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Embedden &amp; opslaan: </w:t>
      </w:r>
      <w:r>
        <w:t xml:space="preserve">elk fragment wordt via Nebius (Qwen3, 1024 dimensies) omgezet naar een vector en opgeslagen in vh_knowledge_chunk (pgvector met HNSW-index).</w:t>
      </w:r>
    </w:p>
    <w:p>
      <w:pPr>
        <w:spacing w:after="120"/>
      </w:pPr>
      <w:r>
        <w:rPr>
          <w:b/>
          <w:bCs/>
        </w:rPr>
        <w:t xml:space="preserve">Advies genereren: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Signaalprofiel: </w:t>
      </w:r>
      <w:r>
        <w:t xml:space="preserve">het cliënt-signaalprofiel (intake-uitkomsten + biomarkers) wordt als zoekopdracht geëmbed.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Ophalen: </w:t>
      </w:r>
      <w:r>
        <w:t xml:space="preserve">match_knowledge_chunks haalt de acht meest gelijkende fragmenten op (cosine-gelijkenis), uitsluitend uit documenten met status ‘actief’.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Genereren: </w:t>
      </w:r>
      <w:r>
        <w:t xml:space="preserve">de chat-LLM stelt op basis van systeeminstructie, signalen en opgehaalde kennis een conceptadvies op.</w:t>
      </w:r>
    </w:p>
    <w:p>
      <w:pPr>
        <w:spacing w:after="120"/>
      </w:pPr>
      <w:r>
        <w:t xml:space="preserve">Waarborgen: het advies bevat geen diagnoses of doseringen; een arts beoordeelt en keurt elk advies goed vóór gebruik (human-in-the-loop). Het goedgekeurde advies wordt opgeslagen in vh_advice.</w:t>
      </w:r>
    </w:p>
    <w:p>
      <w:pPr>
        <w:pStyle w:val="Heading2"/>
      </w:pPr>
      <w:r>
        <w:t xml:space="preserve">3. Applicatie (Schema 3)</w:t>
      </w:r>
    </w:p>
    <w:p>
      <w:pPr>
        <w:spacing w:after="120"/>
      </w:pPr>
      <w:r>
        <w:t xml:space="preserve">Schema 3 zoomt in op de Next.js-applicatie op de live server en op de scheiding van rechten.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Middleware: </w:t>
      </w:r>
      <w:r>
        <w:t xml:space="preserve">de poortwachter van elk verzoek — 2FA-gate (aal2), automatische uitlog bij inactiviteit en sessie-cookies.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Code-lagen: </w:t>
      </w:r>
      <w:r>
        <w:t xml:space="preserve">server components renderen de dashboardpagina’s met de rechten van de gebruiker; route handlers (/api/*) valideren invoer (isUuid/zod) en controleren de rol (requireRole).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Supabase-clients: </w:t>
      </w:r>
      <w:r>
        <w:t xml:space="preserve">drie clients scheiden rechten. De anon-client (browser) en de server-client (SSR) werken binnen row-level security; de admin-client gebruikt de service_role-sleutel die RLS omzeilt en uitsluitend server-side draait.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Rolgating: </w:t>
      </w:r>
      <w:r>
        <w:t xml:space="preserve">in code afgedwongen met canSeeResults (arts/leefstijlarts), isAdmin en canManageKnowledge.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Auditing: </w:t>
      </w:r>
      <w:r>
        <w:t xml:space="preserve">elke medische inzage wordt vastgelegd in het auditlog (Supabase audit-schema) met een tamper-proof kopie bij Better Stack.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Secrets: </w:t>
      </w:r>
      <w:r>
        <w:t xml:space="preserve">de service_role-sleutel en API-sleutels staan uitsluitend server-side en komen nooit in de browser.</w:t>
      </w:r>
    </w:p>
    <w:p>
      <w:pPr>
        <w:pStyle w:val="Heading2"/>
      </w:pPr>
      <w:r>
        <w:t xml:space="preserve">4. Beveiliging &amp; compliance (samenvatting)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Transport: </w:t>
      </w:r>
      <w:r>
        <w:t xml:space="preserve">TLS/HTTPS, HSTS, CSP, X-Frame-Options, X-Content-Type-Options (nosniff) en Referrer-Policy.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Toegang: </w:t>
      </w:r>
      <w:r>
        <w:t xml:space="preserve">verplichte 2FA (MFA/aal2), automatische uitlog en rolgebaseerde toegang.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Data: </w:t>
      </w:r>
      <w:r>
        <w:t xml:space="preserve">row-level security op patiëntdata; service_role alleen server-side; gezondheidsdata (AVG art. 9) in EU-datacentra.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AI: </w:t>
      </w:r>
      <w:r>
        <w:t xml:space="preserve">EU-gehoste LLM, pseudonimisering, geen ruwe gezondheidsdata naar het model en menselijke controle op elk advies.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Auditing: </w:t>
      </w:r>
      <w:r>
        <w:t xml:space="preserve">elke medische inzage gelogd, met een tamper-proof externe kopie.</w:t>
      </w:r>
    </w:p>
    <w:p>
      <w:pPr>
        <w:spacing w:after="120"/>
      </w:pPr>
      <w:r>
        <w:rPr>
          <w:color w:val="64748B"/>
          <w:sz w:val="18"/>
          <w:szCs w:val="18"/>
        </w:rPr>
        <w:t xml:space="preserve">Versie 1.0 — juli 2026. Bij een volgende inhoudelijke wijziging wordt conform het docs-versiebeheer een nieuw bestand met opgehoogd versienummer aangemaakt.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Vita Health — architectuur (toelichting)  ·  versie 1.0  ·  </w:t>
    </w:r>
    <w:r>
      <w:rPr>
        <w:color w:val="64748B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168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1683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2026-07-03T16:39:24.861Z</dcterms:created>
  <dcterms:modified xsi:type="dcterms:W3CDTF">2026-07-03T16:39:24.861Z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