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PII-kluis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Gefaseerd implementatieplan — scheiding van persoonsgegevens en medische gegevens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Versie 1.0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13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vastgesteld — fase 0 in uitvoering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Rollback-anker: git-tag pre-pii-kluis (commit 80923c3)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1683"/>
        </w:rPr>
        <w:t xml:space="preserve">Inhoudsopgave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Doel en dreigingsmodel</w:t>
      </w:r>
    </w:p>
    <w:p>
      <w:pPr>
        <w:spacing w:after="120"/>
      </w:pPr>
      <w:r>
        <w:rPr>
          <w:color w:val="1E293B"/>
        </w:rPr>
        <w:t xml:space="preserve">Herleidbare persoonsgegevens (naam, adres, e-mail, telefoon, geboortedatum) worden gescheiden van de medische gegevens (uitslagen, vragenlijsten, adviezen) opgeslagen in een aparte, </w:t>
      </w:r>
      <w:r>
        <w:rPr>
          <w:b/>
          <w:bCs/>
          <w:color w:val="1E293B"/>
        </w:rPr>
        <w:t xml:space="preserve">versleutelde identiteitskluis</w:t>
      </w:r>
      <w:r>
        <w:rPr>
          <w:color w:val="1E293B"/>
        </w:rPr>
        <w:t xml:space="preserve">. De versleutelingssleutel staat buiten de database. Dit verkleint de kans dat een aanvaller die de database (of een backup) bemachtigt, gegevens tot een echte persoon kan herleiden.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300"/>
        <w:gridCol w:w="2850"/>
        <w:gridCol w:w="2850"/>
      </w:tblGrid>
      <w:tr>
        <w:trPr>
          <w:tblHeader/>
        </w:trPr>
        <w:tc>
          <w:tcPr>
            <w:tcW w:type="dxa" w:w="33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Scenario</w:t>
            </w:r>
          </w:p>
        </w:tc>
        <w:tc>
          <w:tcPr>
            <w:tcW w:type="dxa" w:w="285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Zonder kluis</w:t>
            </w:r>
          </w:p>
        </w:tc>
        <w:tc>
          <w:tcPr>
            <w:tcW w:type="dxa" w:w="285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Met kluis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Gestolen database-dump/backup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volledige dossiers met naam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naamloze dossiers + onleesbare kluis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Gelekte DB-credentials / SQL-injectie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idem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idem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Gelekte service_role-sleutel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 leesbaar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medisch spoor leesbaar, identiteiten niet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Te ruime interne toegang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mogelijk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kluis alleen via service_role + app-sleutel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Gecompromitteerde appserver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 — hiertegen beschermen 2FA/CSP/auditing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Eindbeeld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2.1 Datamodel</w:t>
      </w:r>
    </w:p>
    <w:p>
      <w:pPr>
        <w:spacing w:after="120"/>
      </w:pPr>
      <w:r>
        <w:rPr>
          <w:rFonts w:ascii="Consolas" w:cs="Consolas" w:eastAsia="Consolas" w:hAnsi="Consolas"/>
          <w:color w:val="1F1683"/>
        </w:rPr>
        <w:t xml:space="preserve">vh_client</w:t>
      </w:r>
      <w:r>
        <w:rPr>
          <w:color w:val="1E293B"/>
        </w:rPr>
        <w:t xml:space="preserve"> blijft de spil (alle bestaande koppelingen via </w:t>
      </w:r>
      <w:r>
        <w:rPr>
          <w:rFonts w:ascii="Consolas" w:cs="Consolas" w:eastAsia="Consolas" w:hAnsi="Consolas"/>
          <w:color w:val="1F1683"/>
        </w:rPr>
        <w:t xml:space="preserve">client_id</w:t>
      </w:r>
      <w:r>
        <w:rPr>
          <w:color w:val="1E293B"/>
        </w:rPr>
        <w:t xml:space="preserve"> blijven ongewijzigd) maar wordt pseudoniem: alleen </w:t>
      </w:r>
      <w:r>
        <w:rPr>
          <w:rFonts w:ascii="Consolas" w:cs="Consolas" w:eastAsia="Consolas" w:hAnsi="Consolas"/>
          <w:color w:val="1F1683"/>
        </w:rPr>
        <w:t xml:space="preserve">id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subject_ref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gender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enrollment_status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created_at</w:t>
      </w:r>
      <w:r>
        <w:rPr>
          <w:color w:val="1E293B"/>
        </w:rPr>
        <w:t xml:space="preserve">. De herleidbare velden verhuizen naar </w:t>
      </w:r>
      <w:r>
        <w:rPr>
          <w:rFonts w:ascii="Consolas" w:cs="Consolas" w:eastAsia="Consolas" w:hAnsi="Consolas"/>
          <w:color w:val="1F1683"/>
        </w:rPr>
        <w:t xml:space="preserve">vh_client_identity</w:t>
      </w:r>
      <w:r>
        <w:rPr>
          <w:color w:val="1E293B"/>
        </w:rPr>
        <w:t xml:space="preserve">: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vh_client_identity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client_id      uuid PK, FK -&gt; vh_client (on delete cascade)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first_name_enc / last_name_enc / email_enc / phone_enc      (AES-256-GCM)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birth_date_enc / address_enc / postal_code_enc / city_enc   (AES-256-GCM)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email_hash     HMAC-SHA256 (lookups zonder leesbaar adres)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created_at / updated_at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2.2 Cryptografie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Per veld AES-256-GCM met willekeurige nonce en versieprefix (</w:t>
      </w:r>
      <w:r>
        <w:rPr>
          <w:rFonts w:ascii="Consolas" w:cs="Consolas" w:eastAsia="Consolas" w:hAnsi="Consolas"/>
          <w:color w:val="1F1683"/>
        </w:rPr>
        <w:t xml:space="preserve">v1:…</w:t>
      </w:r>
      <w:r>
        <w:rPr>
          <w:color w:val="1E293B"/>
        </w:rPr>
        <w:t xml:space="preserve">) voor sleutelrotatie.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AAD (additional authenticated data) = </w:t>
      </w:r>
      <w:r>
        <w:rPr>
          <w:rFonts w:ascii="Consolas" w:cs="Consolas" w:eastAsia="Consolas" w:hAnsi="Consolas"/>
          <w:color w:val="1F1683"/>
        </w:rPr>
        <w:t xml:space="preserve">client_id:veldnaam</w:t>
      </w:r>
      <w:r>
        <w:rPr>
          <w:color w:val="1E293B"/>
        </w:rPr>
        <w:t xml:space="preserve"> — ciphertext kan niet tussen rijen of velden verwisseld worden.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email_hash</w:t>
      </w:r>
      <w:r>
        <w:rPr>
          <w:color w:val="1E293B"/>
        </w:rPr>
        <w:t xml:space="preserve"> = HMAC-SHA256 over het genormaliseerde e-mailadres; vervangt de </w:t>
      </w:r>
      <w:r>
        <w:rPr>
          <w:rFonts w:ascii="Consolas" w:cs="Consolas" w:eastAsia="Consolas" w:hAnsi="Consolas"/>
          <w:color w:val="1F1683"/>
        </w:rPr>
        <w:t xml:space="preserve">ilike</w:t>
      </w:r>
      <w:r>
        <w:rPr>
          <w:color w:val="1E293B"/>
        </w:rPr>
        <w:t xml:space="preserve">-lookups.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Sleutels </w:t>
      </w:r>
      <w:r>
        <w:rPr>
          <w:rFonts w:ascii="Consolas" w:cs="Consolas" w:eastAsia="Consolas" w:hAnsi="Consolas"/>
          <w:color w:val="1F1683"/>
        </w:rPr>
        <w:t xml:space="preserve">PII_ENCRYPTION_KEY</w:t>
      </w:r>
      <w:r>
        <w:rPr>
          <w:color w:val="1E293B"/>
        </w:rPr>
        <w:t xml:space="preserve"> en </w:t>
      </w:r>
      <w:r>
        <w:rPr>
          <w:rFonts w:ascii="Consolas" w:cs="Consolas" w:eastAsia="Consolas" w:hAnsi="Consolas"/>
          <w:color w:val="1F1683"/>
        </w:rPr>
        <w:t xml:space="preserve">PII_HASH_KEY</w:t>
      </w:r>
      <w:r>
        <w:rPr>
          <w:color w:val="1E293B"/>
        </w:rPr>
        <w:t xml:space="preserve"> (elk 32 bytes) uitsluitend in de server-omgeving (Coolify) — nooit in de database, git of NEXT_PUBLIC_*.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2.3 Toegang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vh_client_identity</w:t>
      </w:r>
      <w:r>
        <w:rPr>
          <w:color w:val="1E293B"/>
        </w:rPr>
        <w:t xml:space="preserve">: RLS aan zonder policies + revoke voor </w:t>
      </w:r>
      <w:r>
        <w:rPr>
          <w:rFonts w:ascii="Consolas" w:cs="Consolas" w:eastAsia="Consolas" w:hAnsi="Consolas"/>
          <w:color w:val="1F1683"/>
        </w:rPr>
        <w:t xml:space="preserve">anon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authenticated</w:t>
      </w:r>
      <w:r>
        <w:rPr>
          <w:color w:val="1E293B"/>
        </w:rPr>
        <w:t xml:space="preserve"> → alleen </w:t>
      </w:r>
      <w:r>
        <w:rPr>
          <w:rFonts w:ascii="Consolas" w:cs="Consolas" w:eastAsia="Consolas" w:hAnsi="Consolas"/>
          <w:color w:val="1F1683"/>
        </w:rPr>
        <w:t xml:space="preserve">service_role</w:t>
      </w:r>
      <w:r>
        <w:rPr>
          <w:color w:val="1E293B"/>
        </w:rPr>
        <w:t xml:space="preserve">, en alleen de app kan ontsleutelen (dubbel slot).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Alle toegang via één toegangslaag: </w:t>
      </w:r>
      <w:r>
        <w:rPr>
          <w:rFonts w:ascii="Consolas" w:cs="Consolas" w:eastAsia="Consolas" w:hAnsi="Consolas"/>
          <w:color w:val="1F1683"/>
        </w:rPr>
        <w:t xml:space="preserve">lib/pii/identity.ts</w:t>
      </w:r>
      <w:r>
        <w:rPr>
          <w:color w:val="1E293B"/>
        </w:rPr>
        <w:t xml:space="preserve"> (server-only): getIdentity, getIdentities (batch), findClientIdByEmail, upsertIdentity.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Bijeffect: anonimiseren van een afgerond dossier = één kluisrij verwijderen; het medische spoor blijft naamloos bestaan.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Fasering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0 — Fundament (additief, geen gedragswijziging)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</w:rPr>
        <w:t xml:space="preserve">Sleutels genereren; in Coolify en </w:t>
      </w:r>
      <w:r>
        <w:rPr>
          <w:rFonts w:ascii="Consolas" w:cs="Consolas" w:eastAsia="Consolas" w:hAnsi="Consolas"/>
          <w:color w:val="1F1683"/>
        </w:rPr>
        <w:t xml:space="preserve">.env.local</w:t>
      </w:r>
      <w:r>
        <w:rPr>
          <w:color w:val="1E293B"/>
        </w:rPr>
        <w:t xml:space="preserve"> zetten.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lib/pii/crypto.ts</w:t>
      </w:r>
      <w:r>
        <w:rPr>
          <w:color w:val="1E293B"/>
        </w:rPr>
        <w:t xml:space="preserve">: encryptField/decryptField (AES-256-GCM + AAD + versieprefix) en emailHash(); geverifieerd met round-trip-, tamper- en stabiliteitstests.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lib/pii/identity.ts</w:t>
      </w:r>
      <w:r>
        <w:rPr>
          <w:color w:val="1E293B"/>
        </w:rPr>
        <w:t xml:space="preserve">: de toegangslaag tot de kluis.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</w:rPr>
        <w:t xml:space="preserve">Migratie 077: kluis-tabel + grants dichtzetten (tabel blijft leeg).</w:t>
      </w:r>
    </w:p>
    <w:p>
      <w:pPr>
        <w:spacing w:after="120"/>
      </w:pPr>
      <w:r>
        <w:rPr>
          <w:color w:val="1E293B"/>
        </w:rPr>
        <w:t xml:space="preserve">Rollback: triviaal — niets gebruikt de kluis nog.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1 — Dubbelschrijven + backfill (oude kolommen blijven leidend)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Alle PII-schrijfpaden vullen beide kanten: oude kolommen én kluis (settleOrderPaid, cliënt-bewerken, uitnodigen-flow, portal-personalia).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Portal-personalia verhuist van de browser-RPC (portal_register_client) naar een server route die versleutelt en schrijft — tevens de geparkeerde P1-3-refactor voor deze stap.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Eenmalige backfill: bestaande cliënten versleuteld naar de kluis + email_hash.</w:t>
      </w:r>
    </w:p>
    <w:p>
      <w:pPr>
        <w:spacing w:after="120"/>
      </w:pPr>
      <w:r>
        <w:rPr>
          <w:color w:val="1E293B"/>
        </w:rPr>
        <w:t xml:space="preserve">Verificatie: kluisrij aanwezig én ontsleutelbaar voor elke cliënt; counts gelijk. Rollback: kluis negeren.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2 — Leesflows omzetten (per spoor deploybaar)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Spoor</w:t>
            </w:r>
          </w:p>
        </w:tc>
        <w:tc>
          <w:tcPr>
            <w:tcW w:type="dxa" w:w="73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Wijziging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2a Portal/intake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resolve_intake_token en get_enrollment_status_by_token geven client_id/ciphertext i.p.v. klare PII; de server components ontsleutelen via de toegangslaag.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2b Betaalmuur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fulfil.ts en resume-link zoeken via email_hash; factuur/e-mail halen naam via de toegangslaag.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2c Admin-UI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Cliëntenlijst, aanvragen, testkits, dossier: batch-ophalen via getIdentities() na de bestaande rolcheck; naam-zoeken in de app-laag.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2d Exports/e-mail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Batch-export (geboortedatum/geslacht), secure delivery en e-mailtemplates lezen via de toegangslaag (alles al server-side).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Rollback per spoor: terugvallen op de oude kolommen.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3 — Scheiding afdwingen (point of no return)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Controle dat geen codepath de oude kolommen nog leest (grep + regressieronde op de testomgeving).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Migratie 078: PII-kolommen droppen uit vh_client; RPC’s en audit-triggers bijwerken.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types/index.ts: Client wordt pseudoniem; identiteit apart type.</w:t>
      </w:r>
    </w:p>
    <w:p>
      <w:pPr>
        <w:spacing w:after="120"/>
      </w:pPr>
      <w:r>
        <w:rPr>
          <w:color w:val="1E293B"/>
        </w:rPr>
        <w:t xml:space="preserve">Vanaf hier is een databasedump naamloos. Uitvoeren ná een volledige regressieronde; voorafgaand een database-backup nemen.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4 — Flankerend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Sleutelrotatieprocedure (nieuwe sleutel als v2:, lazy her-encryptie, batch-job).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Retentiebeleid: afgerond traject + verstreken termijn → kluisrij wissen = geanonimiseerd.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Auditlog-event bij bulk-ontsleuteling (exports) — centraal in de toegangslaag.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Beveiligingsdocumentatie bijwerken (nieuwe versie beveiligingsmaatregelen-document).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5 — Optioneel, later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vh_order.buyer_* + order-e-mail: financiële administratie met eigen grondslag (factuurplicht); desgewenst later versleutelen met dezelfde helper.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Beleid vrije-tekstvelden (vh_client_note): geen herleidbare gegevens in vrije tekst.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Rollback-strategie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Codebuild</w:t>
      </w:r>
      <w:r>
        <w:rPr>
          <w:color w:val="1E293B"/>
        </w:rPr>
        <w:t xml:space="preserve"> — git-tag </w:t>
      </w:r>
      <w:r>
        <w:rPr>
          <w:rFonts w:ascii="Consolas" w:cs="Consolas" w:eastAsia="Consolas" w:hAnsi="Consolas"/>
          <w:color w:val="1F1683"/>
        </w:rPr>
        <w:t xml:space="preserve">pre-pii-kluis</w:t>
      </w:r>
      <w:r>
        <w:rPr>
          <w:color w:val="1E293B"/>
        </w:rPr>
        <w:t xml:space="preserve"> markeert de laatste build vóór dit traject; elke fase is een losse commit; terugrollen = eerdere commit deployen.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Database</w:t>
      </w:r>
      <w:r>
        <w:rPr>
          <w:color w:val="1E293B"/>
        </w:rPr>
        <w:t xml:space="preserve"> — fases 0–2 zijn puur additief; een oudere build draait er gewoon naast. Het enige destructieve moment is fase 3 (kolommen droppen) — daarvóór: backup + expliciete go/no-go.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Sleutels</w:t>
      </w:r>
      <w:r>
        <w:rPr>
          <w:color w:val="1E293B"/>
        </w:rPr>
        <w:t xml:space="preserve"> — verlies van PII_ENCRYPTION_KEY = verlies van de identiteiten; de sleutel wordt bij aanmaak op een tweede veilige plek bewaard (wachtwoordmanager).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Inschatting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00"/>
        <w:gridCol w:w="2500"/>
      </w:tblGrid>
      <w:tr>
        <w:trPr>
          <w:tblHeader/>
        </w:trPr>
        <w:tc>
          <w:tcPr>
            <w:tcW w:type="dxa" w:w="1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Fase</w:t>
            </w:r>
          </w:p>
        </w:tc>
        <w:tc>
          <w:tcPr>
            <w:tcW w:type="dxa" w:w="50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Omvang</w:t>
            </w:r>
          </w:p>
        </w:tc>
        <w:tc>
          <w:tcPr>
            <w:tcW w:type="dxa" w:w="2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Risico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 (helper + migratie + tests)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middel (4 schrijfplekken + backfill + P1-3-route)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laag (additief)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grootste deel (~57 bestanden, grotendeels mechanisch)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laag per spoor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 maar definitief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gecontroleerd moment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PII-kluis — implementatieplan v1.0</dc:title>
  <dc:creator>Vita Health</dc:creator>
  <cp:lastModifiedBy>Un-named</cp:lastModifiedBy>
  <cp:revision>1</cp:revision>
  <dcterms:created xsi:type="dcterms:W3CDTF">2026-08-13T09:22:55.148Z</dcterms:created>
  <dcterms:modified xsi:type="dcterms:W3CDTF">2026-08-13T09:22:55.154Z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