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Beveiligingsaudit — bevindingen &amp; actielijst</w:t>
      </w:r>
    </w:p>
    <w:p>
      <w:pPr>
        <w:spacing w:after="100"/>
      </w:pPr>
      <w:r>
        <w:rPr>
          <w:color w:val="64748B"/>
        </w:rPr>
        <w:t xml:space="preserve">Vita Health platform · versie 1.2 · juli 2026</w:t>
      </w:r>
    </w:p>
    <w:p>
      <w:pPr>
        <w:pBdr>
          <w:bottom w:val="single" w:color="C7D7FD" w:sz="6" w:space="6"/>
        </w:pBdr>
        <w:spacing w:after="200"/>
      </w:pPr>
    </w:p>
    <w:p>
      <w:pPr>
        <w:spacing w:after="100"/>
      </w:pPr>
      <w:r>
        <w:t xml:space="preserve">Dit document bevat de resultaten van een grondige scan van de applicatiecode en de Supabase-configuratie, gericht op kwetsbaarheden die onbevoegde inzage van (gezondheids)data mogelijk maken: code-injectie, ontbrekende of te brede row-level security (RLS), IDOR en misbruik van de service_role. Per actiepunt staat de status en de uitgevoerde of geplande oplossing.</w:t>
      </w:r>
    </w:p>
    <w:p>
      <w:pPr>
        <w:spacing w:after="100"/>
      </w:pPr>
      <w:r>
        <w:t xml:space="preserve">Statussen: “Uitgevoerd” = doorgevoerd en gedeployd/klaar om te draaien · “Gepland” = concrete oplossing bekend, nog uit te voeren · “Open/Te verifiëren” = beheer- of onderzoeksactie · “Aanbeveling” = hardening.</w:t>
      </w:r>
    </w:p>
    <w:p>
      <w:pPr>
        <w:pStyle w:val="Heading2"/>
      </w:pPr>
      <w:r>
        <w:t xml:space="preserve">Samenvatting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50"/>
        <w:gridCol w:w="5160"/>
        <w:gridCol w:w="2000"/>
      </w:tblGrid>
      <w:tr>
        <w:trPr>
          <w:tblHeader/>
        </w:trP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Prioriteit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Onderwerp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shd w:fill="EE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volledige vh_client + intake-tokens uitlezen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P0-2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Kritiek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Verifieer geen extra brede policies in Supabase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Open (beheer)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 kan cliëntrecords wijzigen (identity-hijack)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P1-4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Hoog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reports/send mist arts-rolcheck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P2-5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Casus-kennis (vh_knowledge) breed 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P2-6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Auditlog-endpoint toelaatbaar te misbruiken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P2-7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PostgREST filter-injectie in zoeken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8A4C"/>
                <w:sz w:val="19"/>
                <w:szCs w:val="19"/>
              </w:rPr>
              <w:t xml:space="preserve">Uitgevoerd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P2-8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Middel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vh_client PII leesbaar voor alle medewerkers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Gepland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P3-9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vh_consent / vh_screener_response minimalisatie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P3-10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E-mail-enumeratie via check_enrollment_email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onderzoeken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P3-11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CSP 'unsafe-inline' voor scripts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P3-12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CSRF / SameSite op state-routes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45309"/>
                <w:sz w:val="19"/>
                <w:szCs w:val="19"/>
              </w:rPr>
              <w:t xml:space="preserve">Te verifiëren</w:t>
            </w:r>
          </w:p>
        </w:tc>
      </w:tr>
      <w:tr>
        <w:tc>
          <w:tcPr>
            <w:tcW w:type="dxa" w:w="8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P3-13</w:t>
            </w:r>
          </w:p>
        </w:tc>
        <w:tc>
          <w:tcPr>
            <w:tcW w:type="dxa" w:w="135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Laag</w:t>
            </w:r>
          </w:p>
        </w:tc>
        <w:tc>
          <w:tcPr>
            <w:tcW w:type="dxa" w:w="516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vh_setting anon-leesbaar</w:t>
            </w:r>
          </w:p>
        </w:tc>
        <w:tc>
          <w:tcPr>
            <w:tcW w:type="dxa" w:w="2000"/>
            <w:tcBorders>
              <w:top w:val="single" w:color="D6DCE5" w:sz="1"/>
              <w:left w:val="single" w:color="D6DCE5" w:sz="1"/>
              <w:bottom w:val="single" w:color="D6DCE5" w:sz="1"/>
              <w:right w:val="single" w:color="D6DCE5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64748B"/>
                <w:sz w:val="19"/>
                <w:szCs w:val="19"/>
              </w:rPr>
              <w:t xml:space="preserve">Aanbeveling</w:t>
            </w:r>
          </w:p>
        </w:tc>
      </w:tr>
    </w:tbl>
    <w:p>
      <w:pPr>
        <w:pStyle w:val="Heading2"/>
        <w:pageBreakBefore/>
      </w:pPr>
      <w:r>
        <w:t xml:space="preserve">P0 — Kritiek</w:t>
      </w:r>
    </w:p>
    <w:p>
      <w:pPr>
        <w:pStyle w:val="Heading3"/>
      </w:pPr>
      <w:r>
        <w:t xml:space="preserve">P0-1 — Anon kan de volledige klanten- en tokentabel uitlezen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publieke anon-key (in elke browser) had via de RLS-policies “anon read client by id” en “anon select token” — beide USING (true) — leestoegang tot de VOLLEDIGE vh_client-tabel (naam, e-mail, telefoon, adres, geboortedatum, status) en alle intake-tokens. Dat maakt exfiltratie van het complete klantenbestand mogelijk zonder in te loggen (datalek, AVG art. 33/34).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supabase/migrations/005_portal_access.sql:23, 014_intake_tokens.sql:17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2b04492)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portal leest vh_client/tokens niet langer rechtstreeks. Twee token-gescopete SECURITY DEFINER-RPC’s vervangen die toegang: portal_register_client (nieuwe aanmelding) en portal_get_assignment (publieke vragenlijstpagina). De brede anon-leespolicies worden ingetrokken. Migratie 059 voegt de RPC’s toe (additief), de code gebruikt ze, en migratie 060 trekt de policies in. Uitvoervolgorde zonder downtime: 059 draaien → code deployen → 060 draaien.</w:t>
      </w:r>
    </w:p>
    <w:p>
      <w:pPr>
        <w:pStyle w:val="Heading3"/>
      </w:pPr>
      <w:r>
        <w:t xml:space="preserve">P0-2 — Controleer op extra te ruime policies in Supabase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RLS-policies zijn additief (ge-OR’d). Een handmatig aangemaakte “Enable all”-policy op vh_client of storage.objects zou de aanscherping tenietdoen.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 Dashboard → Database → Policies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Open (beheeractie)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Na het draaien van 060: in het dashboard verifiëren dat op vh_client, vh_intake_token en storage.objects (bucket client-documents) geen bredere policies bestaan dan de bedoelde. Eventueel resterende ruime policies verwijderen.</w:t>
      </w:r>
    </w:p>
    <w:p>
      <w:pPr>
        <w:pStyle w:val="Heading2"/>
      </w:pPr>
      <w:r>
        <w:t xml:space="preserve">P1 — Hoog</w:t>
      </w:r>
    </w:p>
    <w:p>
      <w:pPr>
        <w:pStyle w:val="Heading3"/>
      </w:pPr>
      <w:r>
        <w:t xml:space="preserve">P1-3 — Anon kan cliëntrecords wijzigen (identity-hijack)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policy “anon update client enrollment” beperkte alleen de status van de rij, niet de kolommen. Anon kon daardoor naam/e-mail/adres van elke cliënt in een vroege status overschrijven (bijv. e-mail kapen om communicatie te onderscheppen).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supabase/migrations/010_enrollment.sql:61-72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061, 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Kolom-privileges: het blanket UPDATE-recht van anon op vh_client is ingetrokken; anon mag nu uitsluitend enrollment_status, phone, birth_date, address, postal_code en city bijwerken. Naam en e-mail zijn niet meer door anon schrijfbaar — die worden alleen bij registratie gezet via portal_register_client (SECURITY DEFINER). De policy “anon insert client” is verwijderd (registratie loopt via die RPC). Draai migratie 061 na de P0-uitrol. Restrisico: een aanvaller die al een geldig (onraadbaar) client-id bezit zou adres/status van een nog-niet-goedgekeurde cliënt kunnen aanpassen; door P0 zijn client-ids niet meer te enumereren. Volledig sluiten kan later door álle portal-writes via server-routes te laten lopen.</w:t>
      </w:r>
    </w:p>
    <w:p>
      <w:pPr>
        <w:pStyle w:val="Heading3"/>
      </w:pPr>
      <w:r>
        <w:t xml:space="preserve">P1-4 — reports/send mist arts-rolcheck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route controleerde alleen of iemand was ingelogd, niet of het een arts/leefstijlarts was. Elke medewerker kon een beveiligd medisch rapport laten versturen en document-ID’s aftasten.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app/api/reports/send/route.ts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a6e988f)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Rolcheck op arts/leefstijlarts toegevoegd vóór het ophalen en versturen van het rapport, consistent met de download- en parse-routes.</w:t>
      </w:r>
    </w:p>
    <w:p>
      <w:pPr>
        <w:pStyle w:val="Heading2"/>
      </w:pPr>
      <w:r>
        <w:t xml:space="preserve">P2 — Middel</w:t>
      </w:r>
    </w:p>
    <w:p>
      <w:pPr>
        <w:pStyle w:val="Heading3"/>
      </w:pPr>
      <w:r>
        <w:t xml:space="preserve">P2-5 — Casus-trainingsdocumenten breed 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vh_knowledge was leesbaar voor alle authenticated. Casusdocumenten bevatten gepseudonimiseerde gezondheidsdata; vh_advice is wél arts-only.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supabase/migrations/058_knowledge_base.sql:70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(migratie 062, 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De leespolicies op vh_knowledge en vh_knowledge_chunk zijn vervangen door rol-beperkte policies (admin/arts/leefstijlarts), gelijk met vh_advice. De RAG-adviesflow leest server-side via service_role en blijft werken; de kennisbank-UI is al tot deze rollen beperkt, dus geen codewijziging nodig.</w:t>
      </w:r>
    </w:p>
    <w:p>
      <w:pPr>
        <w:pStyle w:val="Heading3"/>
      </w:pPr>
      <w:r>
        <w:t xml:space="preserve">P2-6 — Auditlog-endpoint te misbruiken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Elke ingelogde gebruiker kan audit-events met vrij te kiezen subject/actie/reden schrijven (actorUserId wordt wel geforceerd) — integriteit van het audittrail.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app/api/audit/log/route.ts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Client-gemelde events worden nu server-side gemarkeerd met origin=client_ui, zodat ze niet als server-autoritatief kunnen doorgaan. Gevoelige acties (download/verzenden/advies) worden bovendien apart, blokkerend en server-autoritatief geaudit. Payload is al begrensd (vaste enums, reason max 200).</w:t>
      </w:r>
    </w:p>
    <w:p>
      <w:pPr>
        <w:pStyle w:val="Heading3"/>
      </w:pPr>
      <w:r>
        <w:t xml:space="preserve">P2-7 — PostgREST filter-injectie in zoeken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zoekfunctie bouwde een .or()-filterstring met ongesanitiseerde invoer. Impact was begrensd door RLS, maar het patroon is kwetsbaar.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app/(dashboard)/clienten/page.tsx, bedrijven/page.tsx, arbodiensten/page.tsx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1F8A4C"/>
        </w:rPr>
        <w:t xml:space="preserve">Uitgevoerd (commit c549da2)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Nieuwe helper sanitizeSearchTerm() strippt de structurele metatekens , ( ) en de LIKE-wildcards % _ (plus * \ ") uit zoektermen. Toegepast op de .or()- en .ilike()-filters van cliënten, bedrijven en arbodiensten.</w:t>
      </w:r>
    </w:p>
    <w:p>
      <w:pPr>
        <w:pStyle w:val="Heading3"/>
      </w:pPr>
      <w:r>
        <w:t xml:space="preserve">P2-8 — vh_client PII leesbaar voor alle medewerkers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vh_client is leesbaar voor alle authenticated. Voor logistiek personeel deels functioneel, maar ruimer dan strikt nodig (dataminimalisatie).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supabase/migrations/001_initial.sql:90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Gepland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beoordelen of leestoegang tot PII per rol beperkt kan worden zonder de logistieke flows te breken.</w:t>
      </w:r>
    </w:p>
    <w:p>
      <w:pPr>
        <w:pStyle w:val="Heading2"/>
      </w:pPr>
      <w:r>
        <w:t xml:space="preserve">P3 — Laag / hardening</w:t>
      </w:r>
    </w:p>
    <w:p>
      <w:pPr>
        <w:pStyle w:val="Heading3"/>
      </w:pPr>
      <w:r>
        <w:t xml:space="preserve">P3-9 — Minimalisatie consent- en screenergegevens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vh_consent en vh_screener_response zijn leesbaar voor alle authenticated (toestemmingen + gezondheidsverklaring).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supabase/migrations/010, 035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leestoegang beperken tot de rollen die het nodig hebben.</w:t>
      </w:r>
    </w:p>
    <w:p>
      <w:pPr>
        <w:pStyle w:val="Heading3"/>
      </w:pPr>
      <w:r>
        <w:t xml:space="preserve">P3-10 — E-mail-enumeratie via check_enrollment_email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anonieme RPC kan onthullen of een e-mailadres al cliënt is.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RPC check_enrollment_email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onderzoeken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gedrag verifiëren en zo nodig rate-limiten of het antwoord neutraliseren.</w:t>
      </w:r>
    </w:p>
    <w:p>
      <w:pPr>
        <w:pStyle w:val="Heading3"/>
      </w:pPr>
      <w:r>
        <w:t xml:space="preserve">P3-11 — CSP 'unsafe-inline' voor scripts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De Content-Security-Policy staat inline scripts toe, wat de impact van een eventuele XSS vergroot.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next.config.ts:12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op termijn nonces gebruiken in plaats van unsafe-inline.</w:t>
      </w:r>
    </w:p>
    <w:p>
      <w:pPr>
        <w:pStyle w:val="Heading3"/>
      </w:pPr>
      <w:r>
        <w:t xml:space="preserve">P3-12 — CSRF / SameSite op state-wijzigende routes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Cookie-gebaseerde POST-routes kunnen gevoelig zijn voor CSRF als de cookies niet SameSite zijn.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API-routes (POST) + Supabase auth-cookies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B45309"/>
        </w:rPr>
        <w:t xml:space="preserve">Te verifiëren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SameSite-instelling van de auth-cookies verifiëren en een origin-check op POST-routes overwegen.</w:t>
      </w:r>
    </w:p>
    <w:p>
      <w:pPr>
        <w:pStyle w:val="Heading3"/>
      </w:pPr>
      <w:r>
        <w:t xml:space="preserve">P3-13 — vh_setting anon-leesbaar</w:t>
      </w:r>
    </w:p>
    <w:p>
      <w:pPr>
        <w:spacing w:after="50"/>
      </w:pPr>
      <w:r>
        <w:rPr>
          <w:b/>
          <w:bCs/>
        </w:rPr>
        <w:t xml:space="preserve">Risico: </w:t>
      </w:r>
      <w:r>
        <w:t xml:space="preserve">vh_setting is anon-leesbaar. Nu onschuldig, maar risicovol als er ooit geheimen in worden gezet.</w:t>
      </w:r>
    </w:p>
    <w:p>
      <w:pPr>
        <w:spacing w:after="50"/>
      </w:pPr>
      <w:r>
        <w:rPr>
          <w:b/>
          <w:bCs/>
        </w:rPr>
        <w:t xml:space="preserve">Locatie: </w:t>
      </w:r>
      <w:r>
        <w:t xml:space="preserve">supabase/migrations/010_enrollment.sql:50</w:t>
      </w:r>
    </w:p>
    <w:p>
      <w:pPr>
        <w:spacing w:after="50"/>
      </w:pPr>
      <w:r>
        <w:rPr>
          <w:b/>
          <w:bCs/>
        </w:rPr>
        <w:t xml:space="preserve">Status: </w:t>
      </w:r>
      <w:r>
        <w:rPr>
          <w:color w:val="64748B"/>
        </w:rPr>
        <w:t xml:space="preserve">Aanbeveling</w:t>
      </w:r>
    </w:p>
    <w:p>
      <w:pPr>
        <w:spacing w:after="50"/>
      </w:pPr>
      <w:r>
        <w:rPr>
          <w:b/>
          <w:bCs/>
        </w:rPr>
        <w:t xml:space="preserve">Oplossing: </w:t>
      </w:r>
      <w:r>
        <w:t xml:space="preserve">Voorgenomen: nooit geheimen in vh_setting opslaan; eventueel de anon-leestoegang tot alleen benodigde sleutels beperken.</w:t>
      </w:r>
    </w:p>
    <w:p>
      <w:pPr>
        <w:pStyle w:val="Heading2"/>
        <w:pageBreakBefore/>
      </w:pPr>
      <w:r>
        <w:t xml:space="preserve">Wat al goed is geregeld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service_role-sleutel staat uitsluitend server-side — geen NEXT_PUBLIC-lek.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Medische data (vh_report*, vh_client_note, vh_client_document) is correct arts-only via RLS.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Storage-bucket is privé; downloaden loopt via een backend-proxy die de rol checkt en blokkerend audit logt — geen signed URL’s naar de browser.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download-, parse- en admin-routes hebben nette rol-checks; SECURITY DEFINER-RPC’s hebben search_path gepind en zijn token-gescopet.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2FA (aal2) afgedwongen; security headers + HSTS aanwezig; UUID-validatie op route-parameters; audit op medische inzage.</w:t>
      </w:r>
    </w:p>
    <w:p>
      <w:pPr>
        <w:pStyle w:val="Heading2"/>
      </w:pPr>
      <w:r>
        <w:t xml:space="preserve">Uitvoerinstructie P0 (geen downtime)</w:t>
      </w:r>
    </w:p>
    <w:p>
      <w:pPr>
        <w:pStyle w:val="ListParagraph"/>
        <w:numPr>
          <w:ilvl w:val="0"/>
          <w:numId w:val="2"/>
        </w:numPr>
      </w:pPr>
      <w:r>
        <w:t xml:space="preserve">Draai migratie 059 in de Supabase SQL Editor (voegt de RPC’s toe — volledig additief).</w:t>
      </w:r>
    </w:p>
    <w:p>
      <w:pPr>
        <w:pStyle w:val="ListParagraph"/>
        <w:numPr>
          <w:ilvl w:val="0"/>
          <w:numId w:val="2"/>
        </w:numPr>
      </w:pPr>
      <w:r>
        <w:t xml:space="preserve">Deploy de nieuwe code (Coolify) — de portal gebruikt dan de RPC’s.</w:t>
      </w:r>
    </w:p>
    <w:p>
      <w:pPr>
        <w:pStyle w:val="ListParagraph"/>
        <w:numPr>
          <w:ilvl w:val="0"/>
          <w:numId w:val="2"/>
        </w:numPr>
      </w:pPr>
      <w:r>
        <w:t xml:space="preserve">Draai migratie 060 (trekt de brede anon-leespolicies in).</w:t>
      </w:r>
    </w:p>
    <w:p>
      <w:pPr>
        <w:pStyle w:val="ListParagraph"/>
        <w:numPr>
          <w:ilvl w:val="0"/>
          <w:numId w:val="2"/>
        </w:numPr>
      </w:pPr>
      <w:r>
        <w:t xml:space="preserve">Verifieer daarna P0-2 in het Supabase-dashboard.</w:t>
      </w:r>
    </w:p>
    <w:p>
      <w:pPr>
        <w:pStyle w:val="Heading2"/>
      </w:pPr>
      <w:r>
        <w:t xml:space="preserve">Revisiehistorie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v1.0 (juli 2026) — eerste versie; P0-1 uitgevoerd (anon-enumeratie klanten/tokens gedicht, migraties 059/060).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v1.1 (juli 2026) — P1-3 (identity-hijack via anon-writes, migratie 061) en P1-4 (arts-rolcheck reports/send) uitgevoerd.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v1.2 (juli 2026) — P2-5 (kennisbank arts-only, migratie 062), P2-6 (auditlog-markering) en P2-7 (zoek-sanitisatie) uitgevoerd. P2-8 blijft gepland (vraagt een productbeslissing).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Dit document wordt bijgewerkt naarmate actiepunten worden uitgevoerd; elke revisie krijgt een opgehoogd versienummer conform het docs-versiebeheer (oude versies blijven als historie staan).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beveiligingsaudit &amp; actielijst · versie 1.2 ·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2026-07-07T08:05:59.553Z</dcterms:created>
  <dcterms:modified xsi:type="dcterms:W3CDTF">2026-07-07T08:05:59.560Z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