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Calibri" w:hAnsi="Calibri"/>
          <w:b/>
          <w:color w:val="C78A16"/>
          <w:sz w:val="30"/>
        </w:rPr>
        <w:t>OPTAM-MPC</w:t>
      </w:r>
    </w:p>
    <w:p>
      <w:pPr>
        <w:spacing w:after="160"/>
        <w:jc w:val="center"/>
      </w:pPr>
      <w:r>
        <w:rPr>
          <w:rFonts w:ascii="Calibri" w:hAnsi="Calibri"/>
          <w:b/>
          <w:color w:val="183B56"/>
          <w:sz w:val="60"/>
        </w:rPr>
        <w:t>Hands-on Application Tutorial</w:t>
      </w:r>
    </w:p>
    <w:p>
      <w:pPr>
        <w:spacing w:after="480"/>
        <w:jc w:val="center"/>
      </w:pPr>
      <w:r>
        <w:rPr>
          <w:rFonts w:ascii="Calibri" w:hAnsi="Calibri"/>
          <w:color w:val="2E74B5"/>
          <w:sz w:val="32"/>
        </w:rPr>
        <w:t>Part 2: The 2×2 Linear Heat Exchanger</w:t>
      </w:r>
    </w:p>
    <w:p>
      <w:pPr>
        <w:spacing w:after="680"/>
        <w:jc w:val="center"/>
      </w:pPr>
      <w:r>
        <w:rPr>
          <w:rFonts w:ascii="Calibri" w:hAnsi="Calibri"/>
          <w:i/>
          <w:color w:val="5B6570"/>
          <w:sz w:val="23"/>
        </w:rPr>
        <w:t>Interaction, measured-disturbance feedforward, scaling, mismatch and detuning</w:t>
      </w:r>
    </w:p>
    <w:tbl>
      <w:tblPr>
        <w:tblStyle w:val="TableGrid"/>
        <w:tblW w:type="dxa" w:w="9360"/>
        <w:jc w:val="left"/>
        <w:tblLayout w:type="fixed"/>
        <w:tblLook w:firstColumn="1" w:firstRow="1" w:lastColumn="0" w:lastRow="0" w:noHBand="0" w:noVBand="1" w:val="04A0"/>
        <w:tblInd w:w="120" w:type="dxa"/>
      </w:tblPr>
      <w:tblGrid>
        <w:gridCol w:w="1944"/>
        <w:gridCol w:w="7416"/>
      </w:tblGrid>
      <w:tr>
        <w:trPr>
          <w:tblHeader w:val="true"/>
        </w:trPr>
        <w:tc>
          <w:tcPr>
            <w:tcW w:type="dxa" w:w="1944"/>
            <w:shd w:fill="E8F1F8"/>
            <w:tcMar>
              <w:top w:w="80" w:type="dxa"/>
              <w:start w:w="120" w:type="dxa"/>
              <w:bottom w:w="80" w:type="dxa"/>
              <w:end w:w="120" w:type="dxa"/>
            </w:tcMar>
            <w:vAlign w:val="center"/>
          </w:tcPr>
          <w:p>
            <w:r>
              <w:rPr>
                <w:b/>
              </w:rPr>
              <w:t>Applies to</w:t>
            </w:r>
          </w:p>
        </w:tc>
        <w:tc>
          <w:tcPr>
            <w:tcW w:type="dxa" w:w="7416"/>
            <w:tcMar>
              <w:top w:w="80" w:type="dxa"/>
              <w:start w:w="120" w:type="dxa"/>
              <w:bottom w:w="80" w:type="dxa"/>
              <w:end w:w="120" w:type="dxa"/>
            </w:tcMar>
            <w:vAlign w:val="center"/>
          </w:tcPr>
          <w:p>
            <w:r>
              <w:t>OPTAM-MPC Linear Starter v0.6.0</w:t>
            </w:r>
          </w:p>
        </w:tc>
      </w:tr>
      <w:tr>
        <w:tc>
          <w:tcPr>
            <w:tcW w:type="dxa" w:w="1944"/>
            <w:shd w:fill="E8F1F8"/>
            <w:tcMar>
              <w:top w:w="80" w:type="dxa"/>
              <w:start w:w="120" w:type="dxa"/>
              <w:bottom w:w="80" w:type="dxa"/>
              <w:end w:w="120" w:type="dxa"/>
            </w:tcMar>
            <w:vAlign w:val="center"/>
          </w:tcPr>
          <w:p>
            <w:r>
              <w:rPr>
                <w:b/>
              </w:rPr>
              <w:t>Prerequisite</w:t>
            </w:r>
          </w:p>
        </w:tc>
        <w:tc>
          <w:tcPr>
            <w:tcW w:type="dxa" w:w="7416"/>
            <w:tcMar>
              <w:top w:w="80" w:type="dxa"/>
              <w:start w:w="120" w:type="dxa"/>
              <w:bottom w:w="80" w:type="dxa"/>
              <w:end w:w="120" w:type="dxa"/>
            </w:tcMar>
            <w:vAlign w:val="center"/>
          </w:tcPr>
          <w:p>
            <w:r>
              <w:t>Tutorial Part 1 or equivalent familiarity</w:t>
            </w:r>
          </w:p>
        </w:tc>
      </w:tr>
      <w:tr>
        <w:tc>
          <w:tcPr>
            <w:tcW w:type="dxa" w:w="1944"/>
            <w:shd w:fill="E8F1F8"/>
            <w:tcMar>
              <w:top w:w="80" w:type="dxa"/>
              <w:start w:w="120" w:type="dxa"/>
              <w:bottom w:w="80" w:type="dxa"/>
              <w:end w:w="120" w:type="dxa"/>
            </w:tcMar>
            <w:vAlign w:val="center"/>
          </w:tcPr>
          <w:p>
            <w:r>
              <w:rPr>
                <w:b/>
              </w:rPr>
              <w:t>Issue</w:t>
            </w:r>
          </w:p>
        </w:tc>
        <w:tc>
          <w:tcPr>
            <w:tcW w:type="dxa" w:w="7416"/>
            <w:tcMar>
              <w:top w:w="80" w:type="dxa"/>
              <w:start w:w="120" w:type="dxa"/>
              <w:bottom w:w="80" w:type="dxa"/>
              <w:end w:w="120" w:type="dxa"/>
            </w:tcMar>
            <w:vAlign w:val="center"/>
          </w:tcPr>
          <w:p>
            <w:r>
              <w:t>Draft 1 — 6 September 2026</w:t>
            </w:r>
          </w:p>
        </w:tc>
      </w:tr>
      <w:tr>
        <w:tc>
          <w:tcPr>
            <w:tcW w:type="dxa" w:w="1944"/>
            <w:shd w:fill="E8F1F8"/>
            <w:tcMar>
              <w:top w:w="80" w:type="dxa"/>
              <w:start w:w="120" w:type="dxa"/>
              <w:bottom w:w="80" w:type="dxa"/>
              <w:end w:w="120" w:type="dxa"/>
            </w:tcMar>
            <w:vAlign w:val="center"/>
          </w:tcPr>
          <w:p>
            <w:r>
              <w:rPr>
                <w:b/>
              </w:rPr>
              <w:t>Method</w:t>
            </w:r>
          </w:p>
        </w:tc>
        <w:tc>
          <w:tcPr>
            <w:tcW w:type="dxa" w:w="7416"/>
            <w:tcMar>
              <w:top w:w="80" w:type="dxa"/>
              <w:start w:w="120" w:type="dxa"/>
              <w:bottom w:w="80" w:type="dxa"/>
              <w:end w:w="120" w:type="dxa"/>
            </w:tcMar>
            <w:vAlign w:val="center"/>
          </w:tcPr>
          <w:p>
            <w:r>
              <w:t>Predict → configure → validate → run → record evidence</w:t>
            </w:r>
          </w:p>
        </w:tc>
      </w:tr>
    </w:tbl>
    <w:p>
      <w:pPr>
        <w:spacing w:before="520"/>
        <w:jc w:val="center"/>
      </w:pPr>
      <w:r>
        <w:rPr>
          <w:rFonts w:ascii="Calibri" w:hAnsi="Calibri"/>
          <w:b/>
          <w:color w:val="A33A35"/>
          <w:sz w:val="20"/>
        </w:rPr>
        <w:t>The frozen software and user manual remain authoritative.</w:t>
      </w:r>
    </w:p>
    <w:p>
      <w:r>
        <w:br w:type="page"/>
      </w:r>
    </w:p>
    <w:p>
      <w:pPr>
        <w:pStyle w:val="Heading1"/>
      </w:pPr>
      <w:r>
        <w:t>How Part 2 extends Part 1</w:t>
      </w:r>
    </w:p>
    <w:p>
      <w:r>
        <w:t>Part 1 used one CV, one MV and an unmeasured disturbance. Part 2 retains the same frozen engine and generic commands, but introduces the coordination problem that makes MPC especially useful: both valves affect both controlled variables, and two measured disturbances can be used before their full effect appears at the outlet.</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183B56"/>
            <w:tcMar>
              <w:top w:w="80" w:type="dxa"/>
              <w:start w:w="120" w:type="dxa"/>
              <w:bottom w:w="80" w:type="dxa"/>
              <w:end w:w="120" w:type="dxa"/>
            </w:tcMar>
            <w:vAlign w:val="center"/>
          </w:tcPr>
          <w:p>
            <w:r>
              <w:rPr>
                <w:rFonts w:ascii="Calibri" w:hAnsi="Calibri"/>
                <w:b/>
                <w:color w:val="FFFFFF"/>
                <w:sz w:val="20"/>
              </w:rPr>
              <w:t>Part 1</w:t>
            </w:r>
          </w:p>
        </w:tc>
        <w:tc>
          <w:tcPr>
            <w:tcW w:type="dxa" w:w="4680"/>
            <w:shd w:fill="183B56"/>
            <w:tcMar>
              <w:top w:w="80" w:type="dxa"/>
              <w:start w:w="120" w:type="dxa"/>
              <w:bottom w:w="80" w:type="dxa"/>
              <w:end w:w="120" w:type="dxa"/>
            </w:tcMar>
            <w:vAlign w:val="center"/>
          </w:tcPr>
          <w:p>
            <w:r>
              <w:rPr>
                <w:rFonts w:ascii="Calibri" w:hAnsi="Calibri"/>
                <w:b/>
                <w:color w:val="FFFFFF"/>
                <w:sz w:val="20"/>
              </w:rPr>
              <w:t>Part 2</w:t>
            </w:r>
          </w:p>
        </w:tc>
      </w:tr>
      <w:tr>
        <w:tc>
          <w:tcPr>
            <w:tcW w:type="dxa" w:w="4680"/>
            <w:tcMar>
              <w:top w:w="80" w:type="dxa"/>
              <w:start w:w="120" w:type="dxa"/>
              <w:bottom w:w="80" w:type="dxa"/>
              <w:end w:w="120" w:type="dxa"/>
            </w:tcMar>
            <w:vAlign w:val="center"/>
          </w:tcPr>
          <w:p>
            <w:r>
              <w:rPr>
                <w:rFonts w:ascii="Calibri" w:hAnsi="Calibri"/>
                <w:sz w:val="19"/>
              </w:rPr>
              <w:t>1 measured CV</w:t>
            </w:r>
          </w:p>
        </w:tc>
        <w:tc>
          <w:tcPr>
            <w:tcW w:type="dxa" w:w="4680"/>
            <w:tcMar>
              <w:top w:w="80" w:type="dxa"/>
              <w:start w:w="120" w:type="dxa"/>
              <w:bottom w:w="80" w:type="dxa"/>
              <w:end w:w="120" w:type="dxa"/>
            </w:tcMar>
            <w:vAlign w:val="center"/>
          </w:tcPr>
          <w:p>
            <w:r>
              <w:rPr>
                <w:rFonts w:ascii="Calibri" w:hAnsi="Calibri"/>
                <w:sz w:val="19"/>
              </w:rPr>
              <w:t>2 measured CVs</w:t>
            </w:r>
          </w:p>
        </w:tc>
      </w:tr>
      <w:tr>
        <w:tc>
          <w:tcPr>
            <w:tcW w:type="dxa" w:w="4680"/>
            <w:shd w:fill="F5F8FA"/>
            <w:tcMar>
              <w:top w:w="80" w:type="dxa"/>
              <w:start w:w="120" w:type="dxa"/>
              <w:bottom w:w="80" w:type="dxa"/>
              <w:end w:w="120" w:type="dxa"/>
            </w:tcMar>
            <w:vAlign w:val="center"/>
          </w:tcPr>
          <w:p>
            <w:r>
              <w:rPr>
                <w:rFonts w:ascii="Calibri" w:hAnsi="Calibri"/>
                <w:sz w:val="19"/>
              </w:rPr>
              <w:t>1 MV</w:t>
            </w:r>
          </w:p>
        </w:tc>
        <w:tc>
          <w:tcPr>
            <w:tcW w:type="dxa" w:w="4680"/>
            <w:shd w:fill="F5F8FA"/>
            <w:tcMar>
              <w:top w:w="80" w:type="dxa"/>
              <w:start w:w="120" w:type="dxa"/>
              <w:bottom w:w="80" w:type="dxa"/>
              <w:end w:w="120" w:type="dxa"/>
            </w:tcMar>
            <w:vAlign w:val="center"/>
          </w:tcPr>
          <w:p>
            <w:r>
              <w:rPr>
                <w:rFonts w:ascii="Calibri" w:hAnsi="Calibri"/>
                <w:sz w:val="19"/>
              </w:rPr>
              <w:t>2 interacting MVs</w:t>
            </w:r>
          </w:p>
        </w:tc>
      </w:tr>
      <w:tr>
        <w:tc>
          <w:tcPr>
            <w:tcW w:type="dxa" w:w="4680"/>
            <w:tcMar>
              <w:top w:w="80" w:type="dxa"/>
              <w:start w:w="120" w:type="dxa"/>
              <w:bottom w:w="80" w:type="dxa"/>
              <w:end w:w="120" w:type="dxa"/>
            </w:tcMar>
            <w:vAlign w:val="center"/>
          </w:tcPr>
          <w:p>
            <w:r>
              <w:rPr>
                <w:rFonts w:ascii="Calibri" w:hAnsi="Calibri"/>
                <w:sz w:val="19"/>
              </w:rPr>
              <w:t>No measured DVs</w:t>
            </w:r>
          </w:p>
        </w:tc>
        <w:tc>
          <w:tcPr>
            <w:tcW w:type="dxa" w:w="4680"/>
            <w:tcMar>
              <w:top w:w="80" w:type="dxa"/>
              <w:start w:w="120" w:type="dxa"/>
              <w:bottom w:w="80" w:type="dxa"/>
              <w:end w:w="120" w:type="dxa"/>
            </w:tcMar>
            <w:vAlign w:val="center"/>
          </w:tcPr>
          <w:p>
            <w:r>
              <w:rPr>
                <w:rFonts w:ascii="Calibri" w:hAnsi="Calibri"/>
                <w:sz w:val="19"/>
              </w:rPr>
              <w:t>2 measured DVs</w:t>
            </w:r>
          </w:p>
        </w:tc>
      </w:tr>
      <w:tr>
        <w:tc>
          <w:tcPr>
            <w:tcW w:type="dxa" w:w="4680"/>
            <w:shd w:fill="F5F8FA"/>
            <w:tcMar>
              <w:top w:w="80" w:type="dxa"/>
              <w:start w:w="120" w:type="dxa"/>
              <w:bottom w:w="80" w:type="dxa"/>
              <w:end w:w="120" w:type="dxa"/>
            </w:tcMar>
            <w:vAlign w:val="center"/>
          </w:tcPr>
          <w:p>
            <w:r>
              <w:rPr>
                <w:rFonts w:ascii="Calibri" w:hAnsi="Calibri"/>
                <w:sz w:val="19"/>
              </w:rPr>
              <w:t>One integrator path</w:t>
            </w:r>
          </w:p>
        </w:tc>
        <w:tc>
          <w:tcPr>
            <w:tcW w:type="dxa" w:w="4680"/>
            <w:shd w:fill="F5F8FA"/>
            <w:tcMar>
              <w:top w:w="80" w:type="dxa"/>
              <w:start w:w="120" w:type="dxa"/>
              <w:bottom w:w="80" w:type="dxa"/>
              <w:end w:w="120" w:type="dxa"/>
            </w:tcMar>
            <w:vAlign w:val="center"/>
          </w:tcPr>
          <w:p>
            <w:r>
              <w:rPr>
                <w:rFonts w:ascii="Calibri" w:hAnsi="Calibri"/>
                <w:sz w:val="19"/>
              </w:rPr>
              <w:t>Seven nonzero first-order paths</w:t>
            </w:r>
          </w:p>
        </w:tc>
      </w:tr>
      <w:tr>
        <w:tc>
          <w:tcPr>
            <w:tcW w:type="dxa" w:w="4680"/>
            <w:tcMar>
              <w:top w:w="80" w:type="dxa"/>
              <w:start w:w="120" w:type="dxa"/>
              <w:bottom w:w="80" w:type="dxa"/>
              <w:end w:w="120" w:type="dxa"/>
            </w:tcMar>
            <w:vAlign w:val="center"/>
          </w:tcPr>
          <w:p>
            <w:r>
              <w:rPr>
                <w:rFonts w:ascii="Calibri" w:hAnsi="Calibri"/>
                <w:sz w:val="19"/>
              </w:rPr>
              <w:t>Hidden-disturbance feedback</w:t>
            </w:r>
          </w:p>
        </w:tc>
        <w:tc>
          <w:tcPr>
            <w:tcW w:type="dxa" w:w="4680"/>
            <w:tcMar>
              <w:top w:w="80" w:type="dxa"/>
              <w:start w:w="120" w:type="dxa"/>
              <w:bottom w:w="80" w:type="dxa"/>
              <w:end w:w="120" w:type="dxa"/>
            </w:tcMar>
            <w:vAlign w:val="center"/>
          </w:tcPr>
          <w:p>
            <w:r>
              <w:rPr>
                <w:rFonts w:ascii="Calibri" w:hAnsi="Calibri"/>
                <w:sz w:val="19"/>
              </w:rPr>
              <w:t>Feedforward plus velocity-form feedback</w:t>
            </w:r>
          </w:p>
        </w:tc>
      </w:tr>
      <w:tr>
        <w:tc>
          <w:tcPr>
            <w:tcW w:type="dxa" w:w="4680"/>
            <w:shd w:fill="F5F8FA"/>
            <w:tcMar>
              <w:top w:w="80" w:type="dxa"/>
              <w:start w:w="120" w:type="dxa"/>
              <w:bottom w:w="80" w:type="dxa"/>
              <w:end w:w="120" w:type="dxa"/>
            </w:tcMar>
            <w:vAlign w:val="center"/>
          </w:tcPr>
          <w:p>
            <w:r>
              <w:rPr>
                <w:rFonts w:ascii="Calibri" w:hAnsi="Calibri"/>
                <w:sz w:val="19"/>
              </w:rPr>
              <w:t>Single baseline</w:t>
            </w:r>
          </w:p>
        </w:tc>
        <w:tc>
          <w:tcPr>
            <w:tcW w:type="dxa" w:w="4680"/>
            <w:shd w:fill="F5F8FA"/>
            <w:tcMar>
              <w:top w:w="80" w:type="dxa"/>
              <w:start w:w="120" w:type="dxa"/>
              <w:bottom w:w="80" w:type="dxa"/>
              <w:end w:w="120" w:type="dxa"/>
            </w:tcMar>
            <w:vAlign w:val="center"/>
          </w:tcPr>
          <w:p>
            <w:r>
              <w:rPr>
                <w:rFonts w:ascii="Calibri" w:hAnsi="Calibri"/>
                <w:sz w:val="19"/>
              </w:rPr>
              <w:t>Baseline, feedforward comparison and mismatch challenge</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20"/>
              </w:rPr>
              <w:t xml:space="preserve">LEARNING CONTRACT  </w:t>
            </w:r>
            <w:r>
              <w:rPr>
                <w:rFonts w:ascii="Calibri" w:hAnsi="Calibri"/>
                <w:color w:val="1A1A1A"/>
                <w:sz w:val="20"/>
              </w:rPr>
              <w:t>You will not edit Python or the controller core. Every application change is made through copied generic TOML templates, and every conclusion must be tied to numerical evidence.</w:t>
            </w:r>
          </w:p>
        </w:tc>
      </w:tr>
    </w:tbl>
    <w:p>
      <w:pPr>
        <w:spacing w:after="0"/>
      </w:pPr>
    </w:p>
    <w:p>
      <w:pPr>
        <w:pStyle w:val="Heading2"/>
      </w:pPr>
      <w:r>
        <w:t>What you will be able to explain</w:t>
      </w:r>
    </w:p>
    <w:p>
      <w:pPr>
        <w:pStyle w:val="ListBullet"/>
      </w:pPr>
      <w:r>
        <w:t>Why equal opening of both valves mainly changes flow, while unequal opening changes mixed temperature.</w:t>
      </w:r>
    </w:p>
    <w:p>
      <w:pPr>
        <w:pStyle w:val="ListBullet"/>
      </w:pPr>
      <w:r>
        <w:t>Why CV normalization matters before choosing relative weights.</w:t>
      </w:r>
    </w:p>
    <w:p>
      <w:pPr>
        <w:pStyle w:val="ListBullet"/>
      </w:pPr>
      <w:r>
        <w:t>How measured-DV feedforward differs from future preview.</w:t>
      </w:r>
    </w:p>
    <w:p>
      <w:pPr>
        <w:pStyle w:val="ListBullet"/>
      </w:pPr>
      <w:r>
        <w:t>Why velocity-form feedback is still required when measured feedforward is enabled.</w:t>
      </w:r>
    </w:p>
    <w:p>
      <w:pPr>
        <w:pStyle w:val="ListBullet"/>
      </w:pPr>
      <w:r>
        <w:t>Why a nominally successful controller can oscillate when plant gain, lag and delay are wrong.</w:t>
      </w:r>
    </w:p>
    <w:p>
      <w:pPr>
        <w:pStyle w:val="ListBullet"/>
      </w:pPr>
      <w:r>
        <w:t>Why detuning is a robustness trade-off rather than a universal cure.</w:t>
      </w:r>
    </w:p>
    <w:p>
      <w:pPr>
        <w:pStyle w:val="Heading1"/>
        <w:pageBreakBefore/>
      </w:pPr>
      <w:r>
        <w:t>Module 3 — Understand the 2×2 control problem</w:t>
      </w:r>
    </w:p>
    <w:p>
      <w:pPr>
        <w:keepNext/>
        <w:jc w:val="center"/>
      </w:pPr>
      <w:r>
        <w:drawing>
          <wp:inline xmlns:a="http://schemas.openxmlformats.org/drawingml/2006/main" xmlns:pic="http://schemas.openxmlformats.org/drawingml/2006/picture">
            <wp:extent cx="5806440" cy="2913129"/>
            <wp:docPr id="1" name="Picture 1" descr="Figure 1. Both valves are manipulated; upstream pressure and inlet temperature are measured disturbances." title="Figure 1"/>
            <wp:cNvGraphicFramePr>
              <a:graphicFrameLocks noChangeAspect="1"/>
            </wp:cNvGraphicFramePr>
            <a:graphic>
              <a:graphicData uri="http://schemas.openxmlformats.org/drawingml/2006/picture">
                <pic:pic>
                  <pic:nvPicPr>
                    <pic:cNvPr id="0" name="hx_arrangement.png"/>
                    <pic:cNvPicPr/>
                  </pic:nvPicPr>
                  <pic:blipFill>
                    <a:blip r:embed="rId11"/>
                    <a:stretch>
                      <a:fillRect/>
                    </a:stretch>
                  </pic:blipFill>
                  <pic:spPr>
                    <a:xfrm>
                      <a:off x="0" y="0"/>
                      <a:ext cx="5806440" cy="2913129"/>
                    </a:xfrm>
                    <a:prstGeom prst="rect"/>
                  </pic:spPr>
                </pic:pic>
              </a:graphicData>
            </a:graphic>
          </wp:inline>
        </w:drawing>
      </w:r>
    </w:p>
    <w:p>
      <w:pPr>
        <w:pStyle w:val="Caption"/>
        <w:keepNext w:val="0"/>
      </w:pPr>
      <w:r>
        <w:t>Figure 1. Both valves are manipulated; upstream pressure and inlet temperature are measured disturbances.</w:t>
      </w:r>
    </w:p>
    <w:p>
      <w:pPr>
        <w:pStyle w:val="Heading2"/>
      </w:pPr>
      <w:r>
        <w:t>3.1 Process objective</w:t>
      </w:r>
    </w:p>
    <w:p>
      <w:r>
        <w:t>A process stream splits into an exchanger branch and a bypass branch, then recombines. The controller must maintain combined outlet flow and mixed outlet temperature. The exchanger-line and bypass-line valves are both available for manipulation. Inlet temperature and upstream pressure are measured before their effects have completely reached the outlet.</w:t>
      </w:r>
    </w:p>
    <w:tbl>
      <w:tblPr>
        <w:tblStyle w:val="TableGrid"/>
        <w:tblW w:type="dxa" w:w="9360"/>
        <w:jc w:val="left"/>
        <w:tblLayout w:type="fixed"/>
        <w:tblLook w:firstColumn="1" w:firstRow="1" w:lastColumn="0" w:lastRow="0" w:noHBand="0" w:noVBand="1" w:val="04A0"/>
        <w:tblInd w:w="120" w:type="dxa"/>
      </w:tblPr>
      <w:tblGrid>
        <w:gridCol w:w="3096"/>
        <w:gridCol w:w="6264"/>
      </w:tblGrid>
      <w:tr>
        <w:trPr>
          <w:tblHeader w:val="true"/>
        </w:trPr>
        <w:tc>
          <w:tcPr>
            <w:tcW w:type="dxa" w:w="3096"/>
            <w:shd w:fill="183B56"/>
            <w:tcMar>
              <w:top w:w="80" w:type="dxa"/>
              <w:start w:w="120" w:type="dxa"/>
              <w:bottom w:w="80" w:type="dxa"/>
              <w:end w:w="120" w:type="dxa"/>
            </w:tcMar>
            <w:vAlign w:val="center"/>
          </w:tcPr>
          <w:p>
            <w:r>
              <w:rPr>
                <w:rFonts w:ascii="Calibri" w:hAnsi="Calibri"/>
                <w:b/>
                <w:color w:val="FFFFFF"/>
                <w:sz w:val="20"/>
              </w:rPr>
              <w:t>Variable</w:t>
            </w:r>
          </w:p>
        </w:tc>
        <w:tc>
          <w:tcPr>
            <w:tcW w:type="dxa" w:w="6264"/>
            <w:shd w:fill="183B56"/>
            <w:tcMar>
              <w:top w:w="80" w:type="dxa"/>
              <w:start w:w="120" w:type="dxa"/>
              <w:bottom w:w="80" w:type="dxa"/>
              <w:end w:w="120" w:type="dxa"/>
            </w:tcMar>
            <w:vAlign w:val="center"/>
          </w:tcPr>
          <w:p>
            <w:r>
              <w:rPr>
                <w:rFonts w:ascii="Calibri" w:hAnsi="Calibri"/>
                <w:b/>
                <w:color w:val="FFFFFF"/>
                <w:sz w:val="20"/>
              </w:rPr>
              <w:t>Nominal and operating information</w:t>
            </w:r>
          </w:p>
        </w:tc>
      </w:tr>
      <w:tr>
        <w:tc>
          <w:tcPr>
            <w:tcW w:type="dxa" w:w="3096"/>
            <w:tcMar>
              <w:top w:w="80" w:type="dxa"/>
              <w:start w:w="120" w:type="dxa"/>
              <w:bottom w:w="80" w:type="dxa"/>
              <w:end w:w="120" w:type="dxa"/>
            </w:tcMar>
            <w:vAlign w:val="center"/>
          </w:tcPr>
          <w:p>
            <w:r>
              <w:rPr>
                <w:rFonts w:ascii="Calibri" w:hAnsi="Calibri"/>
                <w:sz w:val="19"/>
              </w:rPr>
              <w:t>Combined outlet flow CV</w:t>
            </w:r>
          </w:p>
        </w:tc>
        <w:tc>
          <w:tcPr>
            <w:tcW w:type="dxa" w:w="6264"/>
            <w:tcMar>
              <w:top w:w="80" w:type="dxa"/>
              <w:start w:w="120" w:type="dxa"/>
              <w:bottom w:w="80" w:type="dxa"/>
              <w:end w:w="120" w:type="dxa"/>
            </w:tcMar>
            <w:vAlign w:val="center"/>
          </w:tcPr>
          <w:p>
            <w:r>
              <w:rPr>
                <w:rFonts w:ascii="Calibri" w:hAnsi="Calibri"/>
                <w:sz w:val="19"/>
              </w:rPr>
              <w:t>60 m³/h target; protected range 45–75 m³/h</w:t>
            </w:r>
          </w:p>
        </w:tc>
      </w:tr>
      <w:tr>
        <w:tc>
          <w:tcPr>
            <w:tcW w:type="dxa" w:w="3096"/>
            <w:shd w:fill="F5F8FA"/>
            <w:tcMar>
              <w:top w:w="80" w:type="dxa"/>
              <w:start w:w="120" w:type="dxa"/>
              <w:bottom w:w="80" w:type="dxa"/>
              <w:end w:w="120" w:type="dxa"/>
            </w:tcMar>
            <w:vAlign w:val="center"/>
          </w:tcPr>
          <w:p>
            <w:r>
              <w:rPr>
                <w:rFonts w:ascii="Calibri" w:hAnsi="Calibri"/>
                <w:sz w:val="19"/>
              </w:rPr>
              <w:t>Mixed outlet temperature CV</w:t>
            </w:r>
          </w:p>
        </w:tc>
        <w:tc>
          <w:tcPr>
            <w:tcW w:type="dxa" w:w="6264"/>
            <w:shd w:fill="F5F8FA"/>
            <w:tcMar>
              <w:top w:w="80" w:type="dxa"/>
              <w:start w:w="120" w:type="dxa"/>
              <w:bottom w:w="80" w:type="dxa"/>
              <w:end w:w="120" w:type="dxa"/>
            </w:tcMar>
            <w:vAlign w:val="center"/>
          </w:tcPr>
          <w:p>
            <w:r>
              <w:rPr>
                <w:rFonts w:ascii="Calibri" w:hAnsi="Calibri"/>
                <w:sz w:val="19"/>
              </w:rPr>
              <w:t>64 °C target; protected range 55–75 °C</w:t>
            </w:r>
          </w:p>
        </w:tc>
      </w:tr>
      <w:tr>
        <w:tc>
          <w:tcPr>
            <w:tcW w:type="dxa" w:w="3096"/>
            <w:tcMar>
              <w:top w:w="80" w:type="dxa"/>
              <w:start w:w="120" w:type="dxa"/>
              <w:bottom w:w="80" w:type="dxa"/>
              <w:end w:w="120" w:type="dxa"/>
            </w:tcMar>
            <w:vAlign w:val="center"/>
          </w:tcPr>
          <w:p>
            <w:r>
              <w:rPr>
                <w:rFonts w:ascii="Calibri" w:hAnsi="Calibri"/>
                <w:sz w:val="19"/>
              </w:rPr>
              <w:t>HX valve MV</w:t>
            </w:r>
          </w:p>
        </w:tc>
        <w:tc>
          <w:tcPr>
            <w:tcW w:type="dxa" w:w="6264"/>
            <w:tcMar>
              <w:top w:w="80" w:type="dxa"/>
              <w:start w:w="120" w:type="dxa"/>
              <w:bottom w:w="80" w:type="dxa"/>
              <w:end w:w="120" w:type="dxa"/>
            </w:tcMar>
            <w:vAlign w:val="center"/>
          </w:tcPr>
          <w:p>
            <w:r>
              <w:rPr>
                <w:rFonts w:ascii="Calibri" w:hAnsi="Calibri"/>
                <w:sz w:val="19"/>
              </w:rPr>
              <w:t>50%; allowed 25–75%; move ≤1 percentage point/sample</w:t>
            </w:r>
          </w:p>
        </w:tc>
      </w:tr>
      <w:tr>
        <w:tc>
          <w:tcPr>
            <w:tcW w:type="dxa" w:w="3096"/>
            <w:shd w:fill="F5F8FA"/>
            <w:tcMar>
              <w:top w:w="80" w:type="dxa"/>
              <w:start w:w="120" w:type="dxa"/>
              <w:bottom w:w="80" w:type="dxa"/>
              <w:end w:w="120" w:type="dxa"/>
            </w:tcMar>
            <w:vAlign w:val="center"/>
          </w:tcPr>
          <w:p>
            <w:r>
              <w:rPr>
                <w:rFonts w:ascii="Calibri" w:hAnsi="Calibri"/>
                <w:sz w:val="19"/>
              </w:rPr>
              <w:t>Bypass valve MV</w:t>
            </w:r>
          </w:p>
        </w:tc>
        <w:tc>
          <w:tcPr>
            <w:tcW w:type="dxa" w:w="6264"/>
            <w:shd w:fill="F5F8FA"/>
            <w:tcMar>
              <w:top w:w="80" w:type="dxa"/>
              <w:start w:w="120" w:type="dxa"/>
              <w:bottom w:w="80" w:type="dxa"/>
              <w:end w:w="120" w:type="dxa"/>
            </w:tcMar>
            <w:vAlign w:val="center"/>
          </w:tcPr>
          <w:p>
            <w:r>
              <w:rPr>
                <w:rFonts w:ascii="Calibri" w:hAnsi="Calibri"/>
                <w:sz w:val="19"/>
              </w:rPr>
              <w:t>50%; allowed 25–75%; move ≤1 percentage point/sample</w:t>
            </w:r>
          </w:p>
        </w:tc>
      </w:tr>
      <w:tr>
        <w:tc>
          <w:tcPr>
            <w:tcW w:type="dxa" w:w="3096"/>
            <w:tcMar>
              <w:top w:w="80" w:type="dxa"/>
              <w:start w:w="120" w:type="dxa"/>
              <w:bottom w:w="80" w:type="dxa"/>
              <w:end w:w="120" w:type="dxa"/>
            </w:tcMar>
            <w:vAlign w:val="center"/>
          </w:tcPr>
          <w:p>
            <w:r>
              <w:rPr>
                <w:rFonts w:ascii="Calibri" w:hAnsi="Calibri"/>
                <w:sz w:val="19"/>
              </w:rPr>
              <w:t>Inlet-temperature DV</w:t>
            </w:r>
          </w:p>
        </w:tc>
        <w:tc>
          <w:tcPr>
            <w:tcW w:type="dxa" w:w="6264"/>
            <w:tcMar>
              <w:top w:w="80" w:type="dxa"/>
              <w:start w:w="120" w:type="dxa"/>
              <w:bottom w:w="80" w:type="dxa"/>
              <w:end w:w="120" w:type="dxa"/>
            </w:tcMar>
            <w:vAlign w:val="center"/>
          </w:tcPr>
          <w:p>
            <w:r>
              <w:rPr>
                <w:rFonts w:ascii="Calibri" w:hAnsi="Calibri"/>
                <w:sz w:val="19"/>
              </w:rPr>
              <w:t>40 °C nominal</w:t>
            </w:r>
          </w:p>
        </w:tc>
      </w:tr>
      <w:tr>
        <w:tc>
          <w:tcPr>
            <w:tcW w:type="dxa" w:w="3096"/>
            <w:shd w:fill="F5F8FA"/>
            <w:tcMar>
              <w:top w:w="80" w:type="dxa"/>
              <w:start w:w="120" w:type="dxa"/>
              <w:bottom w:w="80" w:type="dxa"/>
              <w:end w:w="120" w:type="dxa"/>
            </w:tcMar>
            <w:vAlign w:val="center"/>
          </w:tcPr>
          <w:p>
            <w:r>
              <w:rPr>
                <w:rFonts w:ascii="Calibri" w:hAnsi="Calibri"/>
                <w:sz w:val="19"/>
              </w:rPr>
              <w:t>Upstream-pressure DV</w:t>
            </w:r>
          </w:p>
        </w:tc>
        <w:tc>
          <w:tcPr>
            <w:tcW w:type="dxa" w:w="6264"/>
            <w:shd w:fill="F5F8FA"/>
            <w:tcMar>
              <w:top w:w="80" w:type="dxa"/>
              <w:start w:w="120" w:type="dxa"/>
              <w:bottom w:w="80" w:type="dxa"/>
              <w:end w:w="120" w:type="dxa"/>
            </w:tcMar>
            <w:vAlign w:val="center"/>
          </w:tcPr>
          <w:p>
            <w:r>
              <w:rPr>
                <w:rFonts w:ascii="Calibri" w:hAnsi="Calibri"/>
                <w:sz w:val="19"/>
              </w:rPr>
              <w:t>5 barg nominal</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To raise flow without changing temperature much, should the valves move together or in opposite directions? To raise temperature at approximately unchanged flow, how should they move?</w:t>
            </w:r>
          </w:p>
        </w:tc>
      </w:tr>
    </w:tbl>
    <w:p>
      <w:pPr>
        <w:spacing w:after="0"/>
      </w:pPr>
    </w:p>
    <w:p>
      <w:r>
        <w:t>Because both valve-to-flow gains are positive and equal, common opening raises flow. Because the bypass valve has a negative temperature gain while the exchanger valve has a small positive temperature gain, temperature increase at approximately constant flow requires opening the exchanger valve and closing the bypass valve in a coordinated fashion.</w:t>
      </w:r>
    </w:p>
    <w:p>
      <w:pPr>
        <w:pStyle w:val="Heading2"/>
      </w:pPr>
      <w:r>
        <w:t>3.2 The seven-path linear model</w:t>
      </w:r>
    </w:p>
    <w:p>
      <w:pPr>
        <w:keepNext/>
        <w:jc w:val="center"/>
      </w:pPr>
      <w:r>
        <w:drawing>
          <wp:inline xmlns:a="http://schemas.openxmlformats.org/drawingml/2006/main" xmlns:pic="http://schemas.openxmlformats.org/drawingml/2006/picture">
            <wp:extent cx="5577840" cy="2757584"/>
            <wp:docPr id="2" name="Picture 2" descr="Figure 2. Positive cells raise the destination; red cells reduce it. Units differ by row and source." title="Figure 2"/>
            <wp:cNvGraphicFramePr>
              <a:graphicFrameLocks noChangeAspect="1"/>
            </wp:cNvGraphicFramePr>
            <a:graphic>
              <a:graphicData uri="http://schemas.openxmlformats.org/drawingml/2006/picture">
                <pic:pic>
                  <pic:nvPicPr>
                    <pic:cNvPr id="0" name="gain_matrix.png"/>
                    <pic:cNvPicPr/>
                  </pic:nvPicPr>
                  <pic:blipFill>
                    <a:blip r:embed="rId12"/>
                    <a:stretch>
                      <a:fillRect/>
                    </a:stretch>
                  </pic:blipFill>
                  <pic:spPr>
                    <a:xfrm>
                      <a:off x="0" y="0"/>
                      <a:ext cx="5577840" cy="2757584"/>
                    </a:xfrm>
                    <a:prstGeom prst="rect"/>
                  </pic:spPr>
                </pic:pic>
              </a:graphicData>
            </a:graphic>
          </wp:inline>
        </w:drawing>
      </w:r>
    </w:p>
    <w:p>
      <w:pPr>
        <w:pStyle w:val="Caption"/>
        <w:keepNext w:val="0"/>
      </w:pPr>
      <w:r>
        <w:t>Figure 2. Positive cells raise the destination; red cells reduce it. Units differ by row and source.</w:t>
      </w:r>
    </w:p>
    <w:tbl>
      <w:tblPr>
        <w:tblStyle w:val="TableGrid"/>
        <w:tblW w:type="dxa" w:w="9360"/>
        <w:jc w:val="left"/>
        <w:tblLayout w:type="fixed"/>
        <w:tblLook w:firstColumn="1" w:firstRow="1" w:lastColumn="0" w:lastRow="0" w:noHBand="0" w:noVBand="1" w:val="04A0"/>
        <w:tblInd w:w="120" w:type="dxa"/>
      </w:tblPr>
      <w:tblGrid>
        <w:gridCol w:w="3816"/>
        <w:gridCol w:w="5544"/>
      </w:tblGrid>
      <w:tr>
        <w:trPr>
          <w:tblHeader w:val="true"/>
        </w:trPr>
        <w:tc>
          <w:tcPr>
            <w:tcW w:type="dxa" w:w="3816"/>
            <w:shd w:fill="183B56"/>
            <w:tcMar>
              <w:top w:w="80" w:type="dxa"/>
              <w:start w:w="120" w:type="dxa"/>
              <w:bottom w:w="80" w:type="dxa"/>
              <w:end w:w="120" w:type="dxa"/>
            </w:tcMar>
            <w:vAlign w:val="center"/>
          </w:tcPr>
          <w:p>
            <w:r>
              <w:rPr>
                <w:rFonts w:ascii="Calibri" w:hAnsi="Calibri"/>
                <w:b/>
                <w:color w:val="FFFFFF"/>
                <w:sz w:val="20"/>
              </w:rPr>
              <w:t>Path</w:t>
            </w:r>
          </w:p>
        </w:tc>
        <w:tc>
          <w:tcPr>
            <w:tcW w:type="dxa" w:w="5544"/>
            <w:shd w:fill="183B56"/>
            <w:tcMar>
              <w:top w:w="80" w:type="dxa"/>
              <w:start w:w="120" w:type="dxa"/>
              <w:bottom w:w="80" w:type="dxa"/>
              <w:end w:w="120" w:type="dxa"/>
            </w:tcMar>
            <w:vAlign w:val="center"/>
          </w:tcPr>
          <w:p>
            <w:r>
              <w:rPr>
                <w:rFonts w:ascii="Calibri" w:hAnsi="Calibri"/>
                <w:b/>
                <w:color w:val="FFFFFF"/>
                <w:sz w:val="20"/>
              </w:rPr>
              <w:t>Dynamic model</w:t>
            </w:r>
          </w:p>
        </w:tc>
      </w:tr>
      <w:tr>
        <w:tc>
          <w:tcPr>
            <w:tcW w:type="dxa" w:w="3816"/>
            <w:tcMar>
              <w:top w:w="80" w:type="dxa"/>
              <w:start w:w="120" w:type="dxa"/>
              <w:bottom w:w="80" w:type="dxa"/>
              <w:end w:w="120" w:type="dxa"/>
            </w:tcMar>
            <w:vAlign w:val="center"/>
          </w:tcPr>
          <w:p>
            <w:r>
              <w:rPr>
                <w:rFonts w:ascii="Calibri" w:hAnsi="Calibri"/>
                <w:sz w:val="19"/>
              </w:rPr>
              <w:t>HX valve → flow</w:t>
            </w:r>
          </w:p>
        </w:tc>
        <w:tc>
          <w:tcPr>
            <w:tcW w:type="dxa" w:w="5544"/>
            <w:tcMar>
              <w:top w:w="80" w:type="dxa"/>
              <w:start w:w="120" w:type="dxa"/>
              <w:bottom w:w="80" w:type="dxa"/>
              <w:end w:w="120" w:type="dxa"/>
            </w:tcMar>
            <w:vAlign w:val="center"/>
          </w:tcPr>
          <w:p>
            <w:r>
              <w:rPr>
                <w:rFonts w:ascii="Calibri" w:hAnsi="Calibri"/>
                <w:sz w:val="19"/>
              </w:rPr>
              <w:t>K=+0.6 (m³/h)/%; τ=10 s; θ=0 s</w:t>
            </w:r>
          </w:p>
        </w:tc>
      </w:tr>
      <w:tr>
        <w:tc>
          <w:tcPr>
            <w:tcW w:type="dxa" w:w="3816"/>
            <w:shd w:fill="F5F8FA"/>
            <w:tcMar>
              <w:top w:w="80" w:type="dxa"/>
              <w:start w:w="120" w:type="dxa"/>
              <w:bottom w:w="80" w:type="dxa"/>
              <w:end w:w="120" w:type="dxa"/>
            </w:tcMar>
            <w:vAlign w:val="center"/>
          </w:tcPr>
          <w:p>
            <w:r>
              <w:rPr>
                <w:rFonts w:ascii="Calibri" w:hAnsi="Calibri"/>
                <w:sz w:val="19"/>
              </w:rPr>
              <w:t>Bypass valve → flow</w:t>
            </w:r>
          </w:p>
        </w:tc>
        <w:tc>
          <w:tcPr>
            <w:tcW w:type="dxa" w:w="5544"/>
            <w:shd w:fill="F5F8FA"/>
            <w:tcMar>
              <w:top w:w="80" w:type="dxa"/>
              <w:start w:w="120" w:type="dxa"/>
              <w:bottom w:w="80" w:type="dxa"/>
              <w:end w:w="120" w:type="dxa"/>
            </w:tcMar>
            <w:vAlign w:val="center"/>
          </w:tcPr>
          <w:p>
            <w:r>
              <w:rPr>
                <w:rFonts w:ascii="Calibri" w:hAnsi="Calibri"/>
                <w:sz w:val="19"/>
              </w:rPr>
              <w:t>K=+0.6 (m³/h)/%; τ=10 s; θ=0 s</w:t>
            </w:r>
          </w:p>
        </w:tc>
      </w:tr>
      <w:tr>
        <w:tc>
          <w:tcPr>
            <w:tcW w:type="dxa" w:w="3816"/>
            <w:tcMar>
              <w:top w:w="80" w:type="dxa"/>
              <w:start w:w="120" w:type="dxa"/>
              <w:bottom w:w="80" w:type="dxa"/>
              <w:end w:w="120" w:type="dxa"/>
            </w:tcMar>
            <w:vAlign w:val="center"/>
          </w:tcPr>
          <w:p>
            <w:r>
              <w:rPr>
                <w:rFonts w:ascii="Calibri" w:hAnsi="Calibri"/>
                <w:sz w:val="19"/>
              </w:rPr>
              <w:t>HX valve → temperature</w:t>
            </w:r>
          </w:p>
        </w:tc>
        <w:tc>
          <w:tcPr>
            <w:tcW w:type="dxa" w:w="5544"/>
            <w:tcMar>
              <w:top w:w="80" w:type="dxa"/>
              <w:start w:w="120" w:type="dxa"/>
              <w:bottom w:w="80" w:type="dxa"/>
              <w:end w:w="120" w:type="dxa"/>
            </w:tcMar>
            <w:vAlign w:val="center"/>
          </w:tcPr>
          <w:p>
            <w:r>
              <w:rPr>
                <w:rFonts w:ascii="Calibri" w:hAnsi="Calibri"/>
                <w:sz w:val="19"/>
              </w:rPr>
              <w:t>K=+0.046867 °C/%; τ=45 s; θ=5 s</w:t>
            </w:r>
          </w:p>
        </w:tc>
      </w:tr>
      <w:tr>
        <w:tc>
          <w:tcPr>
            <w:tcW w:type="dxa" w:w="3816"/>
            <w:shd w:fill="F5F8FA"/>
            <w:tcMar>
              <w:top w:w="80" w:type="dxa"/>
              <w:start w:w="120" w:type="dxa"/>
              <w:bottom w:w="80" w:type="dxa"/>
              <w:end w:w="120" w:type="dxa"/>
            </w:tcMar>
            <w:vAlign w:val="center"/>
          </w:tcPr>
          <w:p>
            <w:r>
              <w:rPr>
                <w:rFonts w:ascii="Calibri" w:hAnsi="Calibri"/>
                <w:sz w:val="19"/>
              </w:rPr>
              <w:t>Bypass valve → temperature</w:t>
            </w:r>
          </w:p>
        </w:tc>
        <w:tc>
          <w:tcPr>
            <w:tcW w:type="dxa" w:w="5544"/>
            <w:shd w:fill="F5F8FA"/>
            <w:tcMar>
              <w:top w:w="80" w:type="dxa"/>
              <w:start w:w="120" w:type="dxa"/>
              <w:bottom w:w="80" w:type="dxa"/>
              <w:end w:w="120" w:type="dxa"/>
            </w:tcMar>
            <w:vAlign w:val="center"/>
          </w:tcPr>
          <w:p>
            <w:r>
              <w:rPr>
                <w:rFonts w:ascii="Calibri" w:hAnsi="Calibri"/>
                <w:sz w:val="19"/>
              </w:rPr>
              <w:t>K=−0.24 °C/%; τ=35 s; θ=5 s</w:t>
            </w:r>
          </w:p>
        </w:tc>
      </w:tr>
      <w:tr>
        <w:tc>
          <w:tcPr>
            <w:tcW w:type="dxa" w:w="3816"/>
            <w:tcMar>
              <w:top w:w="80" w:type="dxa"/>
              <w:start w:w="120" w:type="dxa"/>
              <w:bottom w:w="80" w:type="dxa"/>
              <w:end w:w="120" w:type="dxa"/>
            </w:tcMar>
            <w:vAlign w:val="center"/>
          </w:tcPr>
          <w:p>
            <w:r>
              <w:rPr>
                <w:rFonts w:ascii="Calibri" w:hAnsi="Calibri"/>
                <w:sz w:val="19"/>
              </w:rPr>
              <w:t>Inlet temperature → temperature</w:t>
            </w:r>
          </w:p>
        </w:tc>
        <w:tc>
          <w:tcPr>
            <w:tcW w:type="dxa" w:w="5544"/>
            <w:tcMar>
              <w:top w:w="80" w:type="dxa"/>
              <w:start w:w="120" w:type="dxa"/>
              <w:bottom w:w="80" w:type="dxa"/>
              <w:end w:w="120" w:type="dxa"/>
            </w:tcMar>
            <w:vAlign w:val="center"/>
          </w:tcPr>
          <w:p>
            <w:r>
              <w:rPr>
                <w:rFonts w:ascii="Calibri" w:hAnsi="Calibri"/>
                <w:sz w:val="19"/>
              </w:rPr>
              <w:t>K=+0.6 °C/°C; τ=25 s; θ=15 s</w:t>
            </w:r>
          </w:p>
        </w:tc>
      </w:tr>
      <w:tr>
        <w:tc>
          <w:tcPr>
            <w:tcW w:type="dxa" w:w="3816"/>
            <w:shd w:fill="F5F8FA"/>
            <w:tcMar>
              <w:top w:w="80" w:type="dxa"/>
              <w:start w:w="120" w:type="dxa"/>
              <w:bottom w:w="80" w:type="dxa"/>
              <w:end w:w="120" w:type="dxa"/>
            </w:tcMar>
            <w:vAlign w:val="center"/>
          </w:tcPr>
          <w:p>
            <w:r>
              <w:rPr>
                <w:rFonts w:ascii="Calibri" w:hAnsi="Calibri"/>
                <w:sz w:val="19"/>
              </w:rPr>
              <w:t>Pressure → flow</w:t>
            </w:r>
          </w:p>
        </w:tc>
        <w:tc>
          <w:tcPr>
            <w:tcW w:type="dxa" w:w="5544"/>
            <w:shd w:fill="F5F8FA"/>
            <w:tcMar>
              <w:top w:w="80" w:type="dxa"/>
              <w:start w:w="120" w:type="dxa"/>
              <w:bottom w:w="80" w:type="dxa"/>
              <w:end w:w="120" w:type="dxa"/>
            </w:tcMar>
            <w:vAlign w:val="center"/>
          </w:tcPr>
          <w:p>
            <w:r>
              <w:rPr>
                <w:rFonts w:ascii="Calibri" w:hAnsi="Calibri"/>
                <w:sz w:val="19"/>
              </w:rPr>
              <w:t>K=+15 (m³/h)/bar; τ=10 s; θ=0 s</w:t>
            </w:r>
          </w:p>
        </w:tc>
      </w:tr>
      <w:tr>
        <w:tc>
          <w:tcPr>
            <w:tcW w:type="dxa" w:w="3816"/>
            <w:tcMar>
              <w:top w:w="80" w:type="dxa"/>
              <w:start w:w="120" w:type="dxa"/>
              <w:bottom w:w="80" w:type="dxa"/>
              <w:end w:w="120" w:type="dxa"/>
            </w:tcMar>
            <w:vAlign w:val="center"/>
          </w:tcPr>
          <w:p>
            <w:r>
              <w:rPr>
                <w:rFonts w:ascii="Calibri" w:hAnsi="Calibri"/>
                <w:sz w:val="19"/>
              </w:rPr>
              <w:t>Pressure → temperature</w:t>
            </w:r>
          </w:p>
        </w:tc>
        <w:tc>
          <w:tcPr>
            <w:tcW w:type="dxa" w:w="5544"/>
            <w:tcMar>
              <w:top w:w="80" w:type="dxa"/>
              <w:start w:w="120" w:type="dxa"/>
              <w:bottom w:w="80" w:type="dxa"/>
              <w:end w:w="120" w:type="dxa"/>
            </w:tcMar>
            <w:vAlign w:val="center"/>
          </w:tcPr>
          <w:p>
            <w:r>
              <w:rPr>
                <w:rFonts w:ascii="Calibri" w:hAnsi="Calibri"/>
                <w:sz w:val="19"/>
              </w:rPr>
              <w:t>K=−2.414157 °C/bar; τ=40 s; θ=5 s</w:t>
            </w:r>
          </w:p>
        </w:tc>
      </w:tr>
    </w:tbl>
    <w:p>
      <w:pPr>
        <w:spacing w:after="0"/>
      </w:pPr>
    </w:p>
    <w:p>
      <w:r>
        <w:t>The omitted inlet-temperature-to-flow path has zero gain under the stated constant-property assumptions. Seven nonzero paths are therefore correct; an 8-path full matrix is not automatically better.</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MODEL BOUNDARY  </w:t>
            </w:r>
            <w:r>
              <w:rPr>
                <w:rFonts w:ascii="Calibri" w:hAnsi="Calibri"/>
                <w:color w:val="1A1A1A"/>
                <w:sz w:val="20"/>
              </w:rPr>
              <w:t>The steady gains are derived from illustrative physical equations. Lags and delays are engineering assumptions. They are not identified plant data and must not be presented as such.</w:t>
            </w:r>
          </w:p>
        </w:tc>
      </w:tr>
    </w:tbl>
    <w:p>
      <w:pPr>
        <w:spacing w:after="0"/>
      </w:pPr>
    </w:p>
    <w:p>
      <w:pPr>
        <w:pStyle w:val="Heading2"/>
      </w:pPr>
      <w:r>
        <w:t>3.3 Scaling before weighting</w:t>
      </w:r>
    </w:p>
    <w:p>
      <w:r>
        <w:t>Flow error and temperature error cannot be compared directly because they use different units and typical magnitudes. The objective uses normalized errors:</w:t>
      </w:r>
    </w:p>
    <w:p>
      <w:pPr>
        <w:jc w:val="center"/>
      </w:pPr>
      <w:r>
        <w:rPr>
          <w:rFonts w:ascii="Calibri" w:hAnsi="Calibri"/>
          <w:b/>
          <w:color w:val="183B56"/>
          <w:sz w:val="24"/>
        </w:rPr>
        <w:t>normalized flow error = (flow − target) / 5 m³/h</w:t>
      </w:r>
    </w:p>
    <w:p>
      <w:pPr>
        <w:jc w:val="center"/>
      </w:pPr>
      <w:r>
        <w:rPr>
          <w:rFonts w:ascii="Calibri" w:hAnsi="Calibri"/>
          <w:b/>
          <w:color w:val="183B56"/>
          <w:sz w:val="24"/>
        </w:rPr>
        <w:t>normalized temperature error = (temperature − target) / 2 °C</w:t>
      </w:r>
    </w:p>
    <w:p>
      <w:r>
        <w:t>With both CV weights equal to 1, a 5 m³/h flow error and a 2 °C temperature error contribute equally before considering their future duration. Weight is priority after scaling; normalization is the engineering scale that makes the comparison meaningful.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If temperature normalization were incorrectly changed from 2 °C to 20 °C with weights unchanged, would temperature become effectively more or less important?</w:t>
            </w:r>
          </w:p>
        </w:tc>
      </w:tr>
    </w:tbl>
    <w:p>
      <w:pPr>
        <w:spacing w:after="0"/>
      </w:pPr>
    </w:p>
    <w:p>
      <w:pPr>
        <w:pStyle w:val="Heading1"/>
        <w:pageBreakBefore/>
      </w:pPr>
      <w:r>
        <w:t>Module 4 — Configure the controller from generic templates</w:t>
      </w:r>
    </w:p>
    <w:p>
      <w:pPr>
        <w:pStyle w:val="Heading2"/>
      </w:pPr>
      <w:r>
        <w:t>4.1 Create the application workspace</w:t>
      </w:r>
    </w:p>
    <w:p>
      <w:pPr>
        <w:pStyle w:val="CodeBlock"/>
        <w:keepLines/>
        <w:shd w:fill="F2F4F6"/>
      </w:pPr>
      <w:r>
        <w:t>mkdir applications\my_hx</w:t>
      </w:r>
      <w:r>
        <w:br/>
      </w:r>
      <w:r>
        <w:t>copy application_template.toml applications\my_hx\application.toml</w:t>
      </w:r>
      <w:r>
        <w:br/>
      </w:r>
      <w:r>
        <w:t>copy simulation_template.toml applications\my_hx\simulation.toml</w:t>
      </w:r>
      <w:r>
        <w:br/>
      </w:r>
      <w:r>
        <w:t>copy opc_template.toml applications\my_hx\opc.toml</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NO SHORTCUTS  </w:t>
            </w:r>
            <w:r>
              <w:rPr>
                <w:rFonts w:ascii="Calibri" w:hAnsi="Calibri"/>
                <w:color w:val="1A1A1A"/>
                <w:sz w:val="20"/>
              </w:rPr>
              <w:t>Build from the generic files. Consult the completed reference only after your own configuration validates or you have recorded exactly where you became blocked.</w:t>
            </w:r>
          </w:p>
        </w:tc>
      </w:tr>
    </w:tbl>
    <w:p>
      <w:pPr>
        <w:spacing w:after="0"/>
      </w:pPr>
    </w:p>
    <w:p>
      <w:pPr>
        <w:pStyle w:val="Heading2"/>
      </w:pPr>
      <w:r>
        <w:t>4.2 Controller structure</w:t>
      </w:r>
    </w:p>
    <w:p>
      <w:pPr>
        <w:pStyle w:val="CodeBlock"/>
        <w:keepLines/>
        <w:shd w:fill="F2F4F6"/>
      </w:pPr>
      <w:r>
        <w:t>[application]</w:t>
      </w:r>
      <w:r>
        <w:br/>
      </w:r>
      <w:r>
        <w:t>name = "Heat exchanger with bypass"</w:t>
      </w:r>
      <w:r>
        <w:br/>
      </w:r>
      <w:r>
        <w:t>sample_time_seconds = 5</w:t>
      </w:r>
      <w:r>
        <w:br/>
      </w:r>
      <w:r>
        <w:t>model_type = "linear_paths"</w:t>
      </w:r>
      <w:r>
        <w:br/>
      </w:r>
      <w:r/>
      <w:r>
        <w:br/>
      </w:r>
      <w:r>
        <w:t>[controller]</w:t>
      </w:r>
      <w:r>
        <w:br/>
      </w:r>
      <w:r>
        <w:t>prediction_form = "velocity"</w:t>
      </w:r>
      <w:r>
        <w:br/>
      </w:r>
      <w:r>
        <w:t>prediction_horizon_samples = 30</w:t>
      </w:r>
      <w:r>
        <w:br/>
      </w:r>
      <w:r>
        <w:t>control_horizon_samples = 10</w:t>
      </w:r>
      <w:r>
        <w:br/>
      </w:r>
      <w:r>
        <w:t>maximum_solver_cpu_seconds = 4</w:t>
      </w:r>
      <w:r>
        <w:br/>
      </w:r>
      <w:r>
        <w:t>use_measured_disturbances = true</w:t>
      </w:r>
    </w:p>
    <w:p>
      <w:r>
        <w:t>The prediction horizon is 150 seconds and the control horizon is 50 seconds. The controller uses current DV measurements across the prediction; it does not know the future event schedule.</w:t>
      </w:r>
    </w:p>
    <w:p>
      <w:pPr>
        <w:pStyle w:val="Heading2"/>
      </w:pPr>
      <w:r>
        <w:t>4.3 Configure two CVs</w:t>
      </w:r>
    </w:p>
    <w:tbl>
      <w:tblPr>
        <w:tblStyle w:val="TableGrid"/>
        <w:tblW w:type="dxa" w:w="9360"/>
        <w:jc w:val="left"/>
        <w:tblLayout w:type="fixed"/>
        <w:tblLook w:firstColumn="1" w:firstRow="1" w:lastColumn="0" w:lastRow="0" w:noHBand="0" w:noVBand="1" w:val="04A0"/>
        <w:tblInd w:w="120" w:type="dxa"/>
      </w:tblPr>
      <w:tblGrid>
        <w:gridCol w:w="3528"/>
        <w:gridCol w:w="5832"/>
      </w:tblGrid>
      <w:tr>
        <w:trPr>
          <w:tblHeader w:val="true"/>
        </w:trPr>
        <w:tc>
          <w:tcPr>
            <w:tcW w:type="dxa" w:w="3528"/>
            <w:shd w:fill="183B56"/>
            <w:tcMar>
              <w:top w:w="80" w:type="dxa"/>
              <w:start w:w="120" w:type="dxa"/>
              <w:bottom w:w="80" w:type="dxa"/>
              <w:end w:w="120" w:type="dxa"/>
            </w:tcMar>
            <w:vAlign w:val="center"/>
          </w:tcPr>
          <w:p>
            <w:r>
              <w:rPr>
                <w:rFonts w:ascii="Calibri" w:hAnsi="Calibri"/>
                <w:b/>
                <w:color w:val="FFFFFF"/>
                <w:sz w:val="20"/>
              </w:rPr>
              <w:t>Field</w:t>
            </w:r>
          </w:p>
        </w:tc>
        <w:tc>
          <w:tcPr>
            <w:tcW w:type="dxa" w:w="5832"/>
            <w:shd w:fill="183B56"/>
            <w:tcMar>
              <w:top w:w="80" w:type="dxa"/>
              <w:start w:w="120" w:type="dxa"/>
              <w:bottom w:w="80" w:type="dxa"/>
              <w:end w:w="120" w:type="dxa"/>
            </w:tcMar>
            <w:vAlign w:val="center"/>
          </w:tcPr>
          <w:p>
            <w:r>
              <w:rPr>
                <w:rFonts w:ascii="Calibri" w:hAnsi="Calibri"/>
                <w:b/>
                <w:color w:val="FFFFFF"/>
                <w:sz w:val="20"/>
              </w:rPr>
              <w:t>Flow / temperature</w:t>
            </w:r>
          </w:p>
        </w:tc>
      </w:tr>
      <w:tr>
        <w:tc>
          <w:tcPr>
            <w:tcW w:type="dxa" w:w="3528"/>
            <w:tcMar>
              <w:top w:w="80" w:type="dxa"/>
              <w:start w:w="120" w:type="dxa"/>
              <w:bottom w:w="80" w:type="dxa"/>
              <w:end w:w="120" w:type="dxa"/>
            </w:tcMar>
            <w:vAlign w:val="center"/>
          </w:tcPr>
          <w:p>
            <w:r>
              <w:rPr>
                <w:rFonts w:ascii="Calibri" w:hAnsi="Calibri"/>
                <w:sz w:val="19"/>
              </w:rPr>
              <w:t>Initial and target</w:t>
            </w:r>
          </w:p>
        </w:tc>
        <w:tc>
          <w:tcPr>
            <w:tcW w:type="dxa" w:w="5832"/>
            <w:tcMar>
              <w:top w:w="80" w:type="dxa"/>
              <w:start w:w="120" w:type="dxa"/>
              <w:bottom w:w="80" w:type="dxa"/>
              <w:end w:w="120" w:type="dxa"/>
            </w:tcMar>
            <w:vAlign w:val="center"/>
          </w:tcPr>
          <w:p>
            <w:r>
              <w:rPr>
                <w:rFonts w:ascii="Calibri" w:hAnsi="Calibri"/>
                <w:sz w:val="19"/>
              </w:rPr>
              <w:t>60 m³/h / 64 °C</w:t>
            </w:r>
          </w:p>
        </w:tc>
      </w:tr>
      <w:tr>
        <w:tc>
          <w:tcPr>
            <w:tcW w:type="dxa" w:w="3528"/>
            <w:shd w:fill="F5F8FA"/>
            <w:tcMar>
              <w:top w:w="80" w:type="dxa"/>
              <w:start w:w="120" w:type="dxa"/>
              <w:bottom w:w="80" w:type="dxa"/>
              <w:end w:w="120" w:type="dxa"/>
            </w:tcMar>
            <w:vAlign w:val="center"/>
          </w:tcPr>
          <w:p>
            <w:r>
              <w:rPr>
                <w:rFonts w:ascii="Calibri" w:hAnsi="Calibri"/>
                <w:sz w:val="19"/>
              </w:rPr>
              <w:t>Weight</w:t>
            </w:r>
          </w:p>
        </w:tc>
        <w:tc>
          <w:tcPr>
            <w:tcW w:type="dxa" w:w="5832"/>
            <w:shd w:fill="F5F8FA"/>
            <w:tcMar>
              <w:top w:w="80" w:type="dxa"/>
              <w:start w:w="120" w:type="dxa"/>
              <w:bottom w:w="80" w:type="dxa"/>
              <w:end w:w="120" w:type="dxa"/>
            </w:tcMar>
            <w:vAlign w:val="center"/>
          </w:tcPr>
          <w:p>
            <w:r>
              <w:rPr>
                <w:rFonts w:ascii="Calibri" w:hAnsi="Calibri"/>
                <w:sz w:val="19"/>
              </w:rPr>
              <w:t>1 / 1</w:t>
            </w:r>
          </w:p>
        </w:tc>
      </w:tr>
      <w:tr>
        <w:tc>
          <w:tcPr>
            <w:tcW w:type="dxa" w:w="3528"/>
            <w:tcMar>
              <w:top w:w="80" w:type="dxa"/>
              <w:start w:w="120" w:type="dxa"/>
              <w:bottom w:w="80" w:type="dxa"/>
              <w:end w:w="120" w:type="dxa"/>
            </w:tcMar>
            <w:vAlign w:val="center"/>
          </w:tcPr>
          <w:p>
            <w:r>
              <w:rPr>
                <w:rFonts w:ascii="Calibri" w:hAnsi="Calibri"/>
                <w:sz w:val="19"/>
              </w:rPr>
              <w:t>Normalization</w:t>
            </w:r>
          </w:p>
        </w:tc>
        <w:tc>
          <w:tcPr>
            <w:tcW w:type="dxa" w:w="5832"/>
            <w:tcMar>
              <w:top w:w="80" w:type="dxa"/>
              <w:start w:w="120" w:type="dxa"/>
              <w:bottom w:w="80" w:type="dxa"/>
              <w:end w:w="120" w:type="dxa"/>
            </w:tcMar>
            <w:vAlign w:val="center"/>
          </w:tcPr>
          <w:p>
            <w:r>
              <w:rPr>
                <w:rFonts w:ascii="Calibri" w:hAnsi="Calibri"/>
                <w:sz w:val="19"/>
              </w:rPr>
              <w:t>5 m³/h / 2 °C</w:t>
            </w:r>
          </w:p>
        </w:tc>
      </w:tr>
      <w:tr>
        <w:tc>
          <w:tcPr>
            <w:tcW w:type="dxa" w:w="3528"/>
            <w:shd w:fill="F5F8FA"/>
            <w:tcMar>
              <w:top w:w="80" w:type="dxa"/>
              <w:start w:w="120" w:type="dxa"/>
              <w:bottom w:w="80" w:type="dxa"/>
              <w:end w:w="120" w:type="dxa"/>
            </w:tcMar>
            <w:vAlign w:val="center"/>
          </w:tcPr>
          <w:p>
            <w:r>
              <w:rPr>
                <w:rFonts w:ascii="Calibri" w:hAnsi="Calibri"/>
                <w:sz w:val="19"/>
              </w:rPr>
              <w:t>Protected low</w:t>
            </w:r>
          </w:p>
        </w:tc>
        <w:tc>
          <w:tcPr>
            <w:tcW w:type="dxa" w:w="5832"/>
            <w:shd w:fill="F5F8FA"/>
            <w:tcMar>
              <w:top w:w="80" w:type="dxa"/>
              <w:start w:w="120" w:type="dxa"/>
              <w:bottom w:w="80" w:type="dxa"/>
              <w:end w:w="120" w:type="dxa"/>
            </w:tcMar>
            <w:vAlign w:val="center"/>
          </w:tcPr>
          <w:p>
            <w:r>
              <w:rPr>
                <w:rFonts w:ascii="Calibri" w:hAnsi="Calibri"/>
                <w:sz w:val="19"/>
              </w:rPr>
              <w:t>45 m³/h / 55 °C</w:t>
            </w:r>
          </w:p>
        </w:tc>
      </w:tr>
      <w:tr>
        <w:tc>
          <w:tcPr>
            <w:tcW w:type="dxa" w:w="3528"/>
            <w:tcMar>
              <w:top w:w="80" w:type="dxa"/>
              <w:start w:w="120" w:type="dxa"/>
              <w:bottom w:w="80" w:type="dxa"/>
              <w:end w:w="120" w:type="dxa"/>
            </w:tcMar>
            <w:vAlign w:val="center"/>
          </w:tcPr>
          <w:p>
            <w:r>
              <w:rPr>
                <w:rFonts w:ascii="Calibri" w:hAnsi="Calibri"/>
                <w:sz w:val="19"/>
              </w:rPr>
              <w:t>Protected high</w:t>
            </w:r>
          </w:p>
        </w:tc>
        <w:tc>
          <w:tcPr>
            <w:tcW w:type="dxa" w:w="5832"/>
            <w:tcMar>
              <w:top w:w="80" w:type="dxa"/>
              <w:start w:w="120" w:type="dxa"/>
              <w:bottom w:w="80" w:type="dxa"/>
              <w:end w:w="120" w:type="dxa"/>
            </w:tcMar>
            <w:vAlign w:val="center"/>
          </w:tcPr>
          <w:p>
            <w:r>
              <w:rPr>
                <w:rFonts w:ascii="Calibri" w:hAnsi="Calibri"/>
                <w:sz w:val="19"/>
              </w:rPr>
              <w:t>75 m³/h / 75 °C</w:t>
            </w:r>
          </w:p>
        </w:tc>
      </w:tr>
      <w:tr>
        <w:tc>
          <w:tcPr>
            <w:tcW w:type="dxa" w:w="3528"/>
            <w:shd w:fill="F5F8FA"/>
            <w:tcMar>
              <w:top w:w="80" w:type="dxa"/>
              <w:start w:w="120" w:type="dxa"/>
              <w:bottom w:w="80" w:type="dxa"/>
              <w:end w:w="120" w:type="dxa"/>
            </w:tcMar>
            <w:vAlign w:val="center"/>
          </w:tcPr>
          <w:p>
            <w:r>
              <w:rPr>
                <w:rFonts w:ascii="Calibri" w:hAnsi="Calibri"/>
                <w:sz w:val="19"/>
              </w:rPr>
              <w:t>Protected-limit weight</w:t>
            </w:r>
          </w:p>
        </w:tc>
        <w:tc>
          <w:tcPr>
            <w:tcW w:type="dxa" w:w="5832"/>
            <w:shd w:fill="F5F8FA"/>
            <w:tcMar>
              <w:top w:w="80" w:type="dxa"/>
              <w:start w:w="120" w:type="dxa"/>
              <w:bottom w:w="80" w:type="dxa"/>
              <w:end w:w="120" w:type="dxa"/>
            </w:tcMar>
            <w:vAlign w:val="center"/>
          </w:tcPr>
          <w:p>
            <w:r>
              <w:rPr>
                <w:rFonts w:ascii="Calibri" w:hAnsi="Calibri"/>
                <w:sz w:val="19"/>
              </w:rPr>
              <w:t>1000 / 1000</w:t>
            </w:r>
          </w:p>
        </w:tc>
      </w:tr>
      <w:tr>
        <w:tc>
          <w:tcPr>
            <w:tcW w:type="dxa" w:w="3528"/>
            <w:tcMar>
              <w:top w:w="80" w:type="dxa"/>
              <w:start w:w="120" w:type="dxa"/>
              <w:bottom w:w="80" w:type="dxa"/>
              <w:end w:w="120" w:type="dxa"/>
            </w:tcMar>
            <w:vAlign w:val="center"/>
          </w:tcPr>
          <w:p>
            <w:r>
              <w:rPr>
                <w:rFonts w:ascii="Calibri" w:hAnsi="Calibri"/>
                <w:sz w:val="19"/>
              </w:rPr>
              <w:t>Protected-limit normalization</w:t>
            </w:r>
          </w:p>
        </w:tc>
        <w:tc>
          <w:tcPr>
            <w:tcW w:type="dxa" w:w="5832"/>
            <w:tcMar>
              <w:top w:w="80" w:type="dxa"/>
              <w:start w:w="120" w:type="dxa"/>
              <w:bottom w:w="80" w:type="dxa"/>
              <w:end w:w="120" w:type="dxa"/>
            </w:tcMar>
            <w:vAlign w:val="center"/>
          </w:tcPr>
          <w:p>
            <w:r>
              <w:rPr>
                <w:rFonts w:ascii="Calibri" w:hAnsi="Calibri"/>
                <w:sz w:val="19"/>
              </w:rPr>
              <w:t>2 / 2</w:t>
            </w:r>
          </w:p>
        </w:tc>
      </w:tr>
    </w:tbl>
    <w:p>
      <w:pPr>
        <w:spacing w:after="0"/>
      </w:pPr>
    </w:p>
    <w:p>
      <w:pPr>
        <w:pStyle w:val="Heading2"/>
      </w:pPr>
      <w:r>
        <w:t>4.4 Configure two MVs and two measured DVs</w:t>
      </w:r>
    </w:p>
    <w:p>
      <w:pPr>
        <w:pStyle w:val="CodeBlock"/>
        <w:keepLines/>
        <w:shd w:fill="F2F4F6"/>
      </w:pPr>
      <w:r>
        <w:t>[[mvs]]</w:t>
      </w:r>
      <w:r>
        <w:br/>
      </w:r>
      <w:r>
        <w:t>id = "hx_valve"</w:t>
      </w:r>
      <w:r>
        <w:br/>
      </w:r>
      <w:r>
        <w:t>name = "Heat-exchanger valve"</w:t>
      </w:r>
      <w:r>
        <w:br/>
      </w:r>
      <w:r>
        <w:t>unit = "%"</w:t>
      </w:r>
      <w:r>
        <w:br/>
      </w:r>
      <w:r>
        <w:t>initial = 50</w:t>
      </w:r>
      <w:r>
        <w:br/>
      </w:r>
      <w:r>
        <w:t>lower = 25</w:t>
      </w:r>
      <w:r>
        <w:br/>
      </w:r>
      <w:r>
        <w:t>upper = 75</w:t>
      </w:r>
      <w:r>
        <w:br/>
      </w:r>
      <w:r>
        <w:t>maximum_increase_per_sample = 1</w:t>
      </w:r>
      <w:r>
        <w:br/>
      </w:r>
      <w:r>
        <w:t>maximum_decrease_per_sample = 1</w:t>
      </w:r>
      <w:r>
        <w:br/>
      </w:r>
      <w:r>
        <w:t>move_weight = 0.05</w:t>
      </w:r>
      <w:r>
        <w:br/>
      </w:r>
      <w:r>
        <w:t>move_normalization = 1</w:t>
      </w:r>
      <w:r>
        <w:br/>
      </w:r>
      <w:r/>
      <w:r>
        <w:br/>
      </w:r>
      <w:r>
        <w:t>[[mvs]]</w:t>
      </w:r>
      <w:r>
        <w:br/>
      </w:r>
      <w:r>
        <w:t>id = "bypass_valve"</w:t>
      </w:r>
      <w:r>
        <w:br/>
      </w:r>
      <w:r>
        <w:t>name = "Bypass valve"</w:t>
      </w:r>
      <w:r>
        <w:br/>
      </w:r>
      <w:r>
        <w:t>unit = "%"</w:t>
      </w:r>
      <w:r>
        <w:br/>
      </w:r>
      <w:r>
        <w:t>initial = 50</w:t>
      </w:r>
      <w:r>
        <w:br/>
      </w:r>
      <w:r>
        <w:t>lower = 25</w:t>
      </w:r>
      <w:r>
        <w:br/>
      </w:r>
      <w:r>
        <w:t>upper = 75</w:t>
      </w:r>
      <w:r>
        <w:br/>
      </w:r>
      <w:r>
        <w:t>maximum_increase_per_sample = 1</w:t>
      </w:r>
      <w:r>
        <w:br/>
      </w:r>
      <w:r>
        <w:t>maximum_decrease_per_sample = 1</w:t>
      </w:r>
      <w:r>
        <w:br/>
      </w:r>
      <w:r>
        <w:t>move_weight = 0.05</w:t>
      </w:r>
      <w:r>
        <w:br/>
      </w:r>
      <w:r>
        <w:t>move_normalization = 1</w:t>
      </w:r>
    </w:p>
    <w:p>
      <w:pPr>
        <w:pStyle w:val="CodeBlock"/>
        <w:keepLines/>
        <w:shd w:fill="F2F4F6"/>
      </w:pPr>
      <w:r>
        <w:t>[[measured_disturbances]]</w:t>
      </w:r>
      <w:r>
        <w:br/>
      </w:r>
      <w:r>
        <w:t>id = "inlet_temperature"</w:t>
      </w:r>
      <w:r>
        <w:br/>
      </w:r>
      <w:r>
        <w:t>name = "Inlet temperature"</w:t>
      </w:r>
      <w:r>
        <w:br/>
      </w:r>
      <w:r>
        <w:t>unit = "degC"</w:t>
      </w:r>
      <w:r>
        <w:br/>
      </w:r>
      <w:r>
        <w:t>initial = 40</w:t>
      </w:r>
      <w:r>
        <w:br/>
      </w:r>
      <w:r/>
      <w:r>
        <w:br/>
      </w:r>
      <w:r>
        <w:t>[[measured_disturbances]]</w:t>
      </w:r>
      <w:r>
        <w:br/>
      </w:r>
      <w:r>
        <w:t>id = "upstream_pressure"</w:t>
      </w:r>
      <w:r>
        <w:br/>
      </w:r>
      <w:r>
        <w:t>name = "Upstream pressure"</w:t>
      </w:r>
      <w:r>
        <w:br/>
      </w:r>
      <w:r>
        <w:t>unit = "barg"</w:t>
      </w:r>
      <w:r>
        <w:br/>
      </w:r>
      <w:r>
        <w:t>initial = 5</w:t>
      </w:r>
    </w:p>
    <w:p>
      <w:r>
        <w:t>A measured DV is information supplied to the controller, not a variable it can manipulate. Do not declare a disturbance measured merely because it exists in a simulation.</w:t>
      </w:r>
    </w:p>
    <w:p>
      <w:pPr>
        <w:pStyle w:val="Heading2"/>
      </w:pPr>
      <w:r>
        <w:t>4.5 Convert every path to first_order</w:t>
      </w:r>
    </w:p>
    <w:p>
      <w:pPr>
        <w:pStyle w:val="CodeBlock"/>
        <w:keepLines/>
        <w:shd w:fill="F2F4F6"/>
      </w:pPr>
      <w:r>
        <w:t>[[model_paths]]</w:t>
      </w:r>
      <w:r>
        <w:br/>
      </w:r>
      <w:r>
        <w:t>source = "hx_valve"</w:t>
      </w:r>
      <w:r>
        <w:br/>
      </w:r>
      <w:r>
        <w:t>destination = "flow"</w:t>
      </w:r>
      <w:r>
        <w:br/>
      </w:r>
      <w:r>
        <w:t>type = "first_order"</w:t>
      </w:r>
      <w:r>
        <w:br/>
      </w:r>
      <w:r>
        <w:t>gain = 0.6</w:t>
      </w:r>
      <w:r>
        <w:br/>
      </w:r>
      <w:r>
        <w:t>time_constant_seconds = 10</w:t>
      </w:r>
      <w:r>
        <w:br/>
      </w:r>
      <w:r>
        <w:t>dead_time_seconds = 0</w:t>
      </w:r>
      <w:r>
        <w:br/>
      </w:r>
      <w:r>
        <w:t>engineering_basis = "DESIGN_BASIS.md: local physical gain; illustrative lag/delay"</w:t>
      </w:r>
      <w:r>
        <w:br/>
      </w:r>
      <w:r/>
      <w:r>
        <w:br/>
      </w:r>
      <w:r>
        <w:t>[[model_checks]]</w:t>
      </w:r>
      <w:r>
        <w:br/>
      </w:r>
      <w:r>
        <w:t>source = "hx_valve"</w:t>
      </w:r>
      <w:r>
        <w:br/>
      </w:r>
      <w:r>
        <w:t>destination = "flow"</w:t>
      </w:r>
      <w:r>
        <w:br/>
      </w:r>
      <w:r>
        <w:t>metric = "steady_change"</w:t>
      </w:r>
      <w:r>
        <w:br/>
      </w:r>
      <w:r>
        <w:t>step = 1</w:t>
      </w:r>
      <w:r>
        <w:br/>
      </w:r>
      <w:r>
        <w:t>expected_change = 0.6</w:t>
      </w:r>
      <w:r>
        <w:br/>
      </w:r>
      <w:r>
        <w:t>tolerance = 1e-10</w:t>
      </w:r>
    </w:p>
    <w:p>
      <w:r>
        <w:t>Repeat the complete path and check blocks for all seven nonzero relationships. Do not leave generic integrator paths or irrelevant template blocks. Add the explicit zero-gain implementation check for inlet temperature → flow.</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EE"/>
          </w:tcPr>
          <w:p>
            <w:pPr>
              <w:spacing w:after="40"/>
            </w:pPr>
            <w:r>
              <w:rPr>
                <w:rFonts w:ascii="Calibri" w:hAnsi="Calibri"/>
                <w:b/>
                <w:color w:val="2F7D55"/>
                <w:sz w:val="20"/>
              </w:rPr>
              <w:t xml:space="preserve">CHECKPOINT  </w:t>
            </w:r>
            <w:r>
              <w:rPr>
                <w:rFonts w:ascii="Calibri" w:hAnsi="Calibri"/>
                <w:color w:val="1A1A1A"/>
                <w:sz w:val="20"/>
              </w:rPr>
              <w:t>application.toml must contain 2 CVs, 2 MVs, 2 measured DVs, 7 first-order paths, 7 nonzero steady-change checks and 1 zero-gain check.</w:t>
            </w:r>
          </w:p>
        </w:tc>
      </w:tr>
    </w:tbl>
    <w:p>
      <w:pPr>
        <w:spacing w:after="0"/>
      </w:pPr>
    </w:p>
    <w:p>
      <w:pPr>
        <w:pStyle w:val="Heading2"/>
      </w:pPr>
      <w:r>
        <w:t>4.6 Validate the model implementation</w:t>
      </w:r>
    </w:p>
    <w:p>
      <w:pPr>
        <w:pStyle w:val="CodeBlock"/>
        <w:keepLines/>
        <w:shd w:fill="F2F4F6"/>
      </w:pPr>
      <w:r>
        <w:t>validate_application.bat applications\my_hx\application.toml</w:t>
      </w:r>
    </w:p>
    <w:p>
      <w:r>
        <w:t>Read all eight check results. Validation confirms that the configured path bank produces the independently specified steady changes. It does not validate the physical assumptions against a real plant.</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HONEST FAILURE CHALLENGE  </w:t>
            </w:r>
            <w:r>
              <w:rPr>
                <w:rFonts w:ascii="Calibri" w:hAnsi="Calibri"/>
                <w:color w:val="1A1A1A"/>
                <w:sz w:val="20"/>
              </w:rPr>
              <w:t>Change the pressure-to-temperature expected gain to +2.414 instead of −2.414. Validate, explain the physical sign, then restore the correct value.</w:t>
            </w:r>
          </w:p>
        </w:tc>
      </w:tr>
    </w:tbl>
    <w:p>
      <w:pPr>
        <w:spacing w:after="0"/>
      </w:pPr>
    </w:p>
    <w:p>
      <w:pPr>
        <w:pStyle w:val="Heading1"/>
        <w:pageBreakBefore/>
      </w:pPr>
      <w:r>
        <w:t>Module 5 — Build and run the combined scenario</w:t>
      </w:r>
    </w:p>
    <w:p>
      <w:pPr>
        <w:pStyle w:val="Heading2"/>
      </w:pPr>
      <w:r>
        <w:t>5.1 Independent plant structure</w:t>
      </w:r>
    </w:p>
    <w:p>
      <w:r>
        <w:t>The simulation has two outputs, two MV inputs and two measured-DV inputs. Each controller ID is mapped explicitly. The independent plant repeats the seven physical paths; it is not generated from the controller configuration.</w:t>
      </w:r>
    </w:p>
    <w:tbl>
      <w:tblPr>
        <w:tblStyle w:val="TableGrid"/>
        <w:tblW w:type="dxa" w:w="9360"/>
        <w:jc w:val="left"/>
        <w:tblLayout w:type="fixed"/>
        <w:tblLook w:firstColumn="1" w:firstRow="1" w:lastColumn="0" w:lastRow="0" w:noHBand="0" w:noVBand="1" w:val="04A0"/>
        <w:tblInd w:w="120" w:type="dxa"/>
      </w:tblPr>
      <w:tblGrid>
        <w:gridCol w:w="1656"/>
        <w:gridCol w:w="7704"/>
      </w:tblGrid>
      <w:tr>
        <w:trPr>
          <w:tblHeader w:val="true"/>
        </w:trPr>
        <w:tc>
          <w:tcPr>
            <w:tcW w:type="dxa" w:w="1656"/>
            <w:shd w:fill="183B56"/>
            <w:tcMar>
              <w:top w:w="80" w:type="dxa"/>
              <w:start w:w="120" w:type="dxa"/>
              <w:bottom w:w="80" w:type="dxa"/>
              <w:end w:w="120" w:type="dxa"/>
            </w:tcMar>
            <w:vAlign w:val="center"/>
          </w:tcPr>
          <w:p>
            <w:r>
              <w:rPr>
                <w:rFonts w:ascii="Calibri" w:hAnsi="Calibri"/>
                <w:b/>
                <w:color w:val="FFFFFF"/>
                <w:sz w:val="20"/>
              </w:rPr>
              <w:t>Sample</w:t>
            </w:r>
          </w:p>
        </w:tc>
        <w:tc>
          <w:tcPr>
            <w:tcW w:type="dxa" w:w="7704"/>
            <w:shd w:fill="183B56"/>
            <w:tcMar>
              <w:top w:w="80" w:type="dxa"/>
              <w:start w:w="120" w:type="dxa"/>
              <w:bottom w:w="80" w:type="dxa"/>
              <w:end w:w="120" w:type="dxa"/>
            </w:tcMar>
            <w:vAlign w:val="center"/>
          </w:tcPr>
          <w:p>
            <w:r>
              <w:rPr>
                <w:rFonts w:ascii="Calibri" w:hAnsi="Calibri"/>
                <w:b/>
                <w:color w:val="FFFFFF"/>
                <w:sz w:val="20"/>
              </w:rPr>
              <w:t>Change</w:t>
            </w:r>
          </w:p>
        </w:tc>
      </w:tr>
      <w:tr>
        <w:tc>
          <w:tcPr>
            <w:tcW w:type="dxa" w:w="1656"/>
            <w:tcMar>
              <w:top w:w="80" w:type="dxa"/>
              <w:start w:w="120" w:type="dxa"/>
              <w:bottom w:w="80" w:type="dxa"/>
              <w:end w:w="120" w:type="dxa"/>
            </w:tcMar>
            <w:vAlign w:val="center"/>
          </w:tcPr>
          <w:p>
            <w:r>
              <w:rPr>
                <w:rFonts w:ascii="Calibri" w:hAnsi="Calibri"/>
                <w:sz w:val="19"/>
              </w:rPr>
              <w:t>20</w:t>
            </w:r>
          </w:p>
        </w:tc>
        <w:tc>
          <w:tcPr>
            <w:tcW w:type="dxa" w:w="7704"/>
            <w:tcMar>
              <w:top w:w="80" w:type="dxa"/>
              <w:start w:w="120" w:type="dxa"/>
              <w:bottom w:w="80" w:type="dxa"/>
              <w:end w:w="120" w:type="dxa"/>
            </w:tcMar>
            <w:vAlign w:val="center"/>
          </w:tcPr>
          <w:p>
            <w:r>
              <w:rPr>
                <w:rFonts w:ascii="Calibri" w:hAnsi="Calibri"/>
                <w:sz w:val="19"/>
              </w:rPr>
              <w:t>Flow target 60 → 64 m³/h</w:t>
            </w:r>
          </w:p>
        </w:tc>
      </w:tr>
      <w:tr>
        <w:tc>
          <w:tcPr>
            <w:tcW w:type="dxa" w:w="1656"/>
            <w:shd w:fill="F5F8FA"/>
            <w:tcMar>
              <w:top w:w="80" w:type="dxa"/>
              <w:start w:w="120" w:type="dxa"/>
              <w:bottom w:w="80" w:type="dxa"/>
              <w:end w:w="120" w:type="dxa"/>
            </w:tcMar>
            <w:vAlign w:val="center"/>
          </w:tcPr>
          <w:p>
            <w:r>
              <w:rPr>
                <w:rFonts w:ascii="Calibri" w:hAnsi="Calibri"/>
                <w:sz w:val="19"/>
              </w:rPr>
              <w:t>100</w:t>
            </w:r>
          </w:p>
        </w:tc>
        <w:tc>
          <w:tcPr>
            <w:tcW w:type="dxa" w:w="7704"/>
            <w:shd w:fill="F5F8FA"/>
            <w:tcMar>
              <w:top w:w="80" w:type="dxa"/>
              <w:start w:w="120" w:type="dxa"/>
              <w:bottom w:w="80" w:type="dxa"/>
              <w:end w:w="120" w:type="dxa"/>
            </w:tcMar>
            <w:vAlign w:val="center"/>
          </w:tcPr>
          <w:p>
            <w:r>
              <w:rPr>
                <w:rFonts w:ascii="Calibri" w:hAnsi="Calibri"/>
                <w:sz w:val="19"/>
              </w:rPr>
              <w:t>Flow target → 60 m³/h</w:t>
            </w:r>
          </w:p>
        </w:tc>
      </w:tr>
      <w:tr>
        <w:tc>
          <w:tcPr>
            <w:tcW w:type="dxa" w:w="1656"/>
            <w:tcMar>
              <w:top w:w="80" w:type="dxa"/>
              <w:start w:w="120" w:type="dxa"/>
              <w:bottom w:w="80" w:type="dxa"/>
              <w:end w:w="120" w:type="dxa"/>
            </w:tcMar>
            <w:vAlign w:val="center"/>
          </w:tcPr>
          <w:p>
            <w:r>
              <w:rPr>
                <w:rFonts w:ascii="Calibri" w:hAnsi="Calibri"/>
                <w:sz w:val="19"/>
              </w:rPr>
              <w:t>180</w:t>
            </w:r>
          </w:p>
        </w:tc>
        <w:tc>
          <w:tcPr>
            <w:tcW w:type="dxa" w:w="7704"/>
            <w:tcMar>
              <w:top w:w="80" w:type="dxa"/>
              <w:start w:w="120" w:type="dxa"/>
              <w:bottom w:w="80" w:type="dxa"/>
              <w:end w:w="120" w:type="dxa"/>
            </w:tcMar>
            <w:vAlign w:val="center"/>
          </w:tcPr>
          <w:p>
            <w:r>
              <w:rPr>
                <w:rFonts w:ascii="Calibri" w:hAnsi="Calibri"/>
                <w:sz w:val="19"/>
              </w:rPr>
              <w:t>Temperature target 64 → 67 °C</w:t>
            </w:r>
          </w:p>
        </w:tc>
      </w:tr>
      <w:tr>
        <w:tc>
          <w:tcPr>
            <w:tcW w:type="dxa" w:w="1656"/>
            <w:shd w:fill="F5F8FA"/>
            <w:tcMar>
              <w:top w:w="80" w:type="dxa"/>
              <w:start w:w="120" w:type="dxa"/>
              <w:bottom w:w="80" w:type="dxa"/>
              <w:end w:w="120" w:type="dxa"/>
            </w:tcMar>
            <w:vAlign w:val="center"/>
          </w:tcPr>
          <w:p>
            <w:r>
              <w:rPr>
                <w:rFonts w:ascii="Calibri" w:hAnsi="Calibri"/>
                <w:sz w:val="19"/>
              </w:rPr>
              <w:t>260</w:t>
            </w:r>
          </w:p>
        </w:tc>
        <w:tc>
          <w:tcPr>
            <w:tcW w:type="dxa" w:w="7704"/>
            <w:shd w:fill="F5F8FA"/>
            <w:tcMar>
              <w:top w:w="80" w:type="dxa"/>
              <w:start w:w="120" w:type="dxa"/>
              <w:bottom w:w="80" w:type="dxa"/>
              <w:end w:w="120" w:type="dxa"/>
            </w:tcMar>
            <w:vAlign w:val="center"/>
          </w:tcPr>
          <w:p>
            <w:r>
              <w:rPr>
                <w:rFonts w:ascii="Calibri" w:hAnsi="Calibri"/>
                <w:sz w:val="19"/>
              </w:rPr>
              <w:t>Temperature target → 64 °C</w:t>
            </w:r>
          </w:p>
        </w:tc>
      </w:tr>
      <w:tr>
        <w:tc>
          <w:tcPr>
            <w:tcW w:type="dxa" w:w="1656"/>
            <w:tcMar>
              <w:top w:w="80" w:type="dxa"/>
              <w:start w:w="120" w:type="dxa"/>
              <w:bottom w:w="80" w:type="dxa"/>
              <w:end w:w="120" w:type="dxa"/>
            </w:tcMar>
            <w:vAlign w:val="center"/>
          </w:tcPr>
          <w:p>
            <w:r>
              <w:rPr>
                <w:rFonts w:ascii="Calibri" w:hAnsi="Calibri"/>
                <w:sz w:val="19"/>
              </w:rPr>
              <w:t>340</w:t>
            </w:r>
          </w:p>
        </w:tc>
        <w:tc>
          <w:tcPr>
            <w:tcW w:type="dxa" w:w="7704"/>
            <w:tcMar>
              <w:top w:w="80" w:type="dxa"/>
              <w:start w:w="120" w:type="dxa"/>
              <w:bottom w:w="80" w:type="dxa"/>
              <w:end w:w="120" w:type="dxa"/>
            </w:tcMar>
            <w:vAlign w:val="center"/>
          </w:tcPr>
          <w:p>
            <w:r>
              <w:rPr>
                <w:rFonts w:ascii="Calibri" w:hAnsi="Calibri"/>
                <w:sz w:val="19"/>
              </w:rPr>
              <w:t>Inlet temperature 40 → 37 °C</w:t>
            </w:r>
          </w:p>
        </w:tc>
      </w:tr>
      <w:tr>
        <w:tc>
          <w:tcPr>
            <w:tcW w:type="dxa" w:w="1656"/>
            <w:shd w:fill="F5F8FA"/>
            <w:tcMar>
              <w:top w:w="80" w:type="dxa"/>
              <w:start w:w="120" w:type="dxa"/>
              <w:bottom w:w="80" w:type="dxa"/>
              <w:end w:w="120" w:type="dxa"/>
            </w:tcMar>
            <w:vAlign w:val="center"/>
          </w:tcPr>
          <w:p>
            <w:r>
              <w:rPr>
                <w:rFonts w:ascii="Calibri" w:hAnsi="Calibri"/>
                <w:sz w:val="19"/>
              </w:rPr>
              <w:t>420</w:t>
            </w:r>
          </w:p>
        </w:tc>
        <w:tc>
          <w:tcPr>
            <w:tcW w:type="dxa" w:w="7704"/>
            <w:shd w:fill="F5F8FA"/>
            <w:tcMar>
              <w:top w:w="80" w:type="dxa"/>
              <w:start w:w="120" w:type="dxa"/>
              <w:bottom w:w="80" w:type="dxa"/>
              <w:end w:w="120" w:type="dxa"/>
            </w:tcMar>
            <w:vAlign w:val="center"/>
          </w:tcPr>
          <w:p>
            <w:r>
              <w:rPr>
                <w:rFonts w:ascii="Calibri" w:hAnsi="Calibri"/>
                <w:sz w:val="19"/>
              </w:rPr>
              <w:t>Inlet temperature → 40 °C</w:t>
            </w:r>
          </w:p>
        </w:tc>
      </w:tr>
      <w:tr>
        <w:tc>
          <w:tcPr>
            <w:tcW w:type="dxa" w:w="1656"/>
            <w:tcMar>
              <w:top w:w="80" w:type="dxa"/>
              <w:start w:w="120" w:type="dxa"/>
              <w:bottom w:w="80" w:type="dxa"/>
              <w:end w:w="120" w:type="dxa"/>
            </w:tcMar>
            <w:vAlign w:val="center"/>
          </w:tcPr>
          <w:p>
            <w:r>
              <w:rPr>
                <w:rFonts w:ascii="Calibri" w:hAnsi="Calibri"/>
                <w:sz w:val="19"/>
              </w:rPr>
              <w:t>500</w:t>
            </w:r>
          </w:p>
        </w:tc>
        <w:tc>
          <w:tcPr>
            <w:tcW w:type="dxa" w:w="7704"/>
            <w:tcMar>
              <w:top w:w="80" w:type="dxa"/>
              <w:start w:w="120" w:type="dxa"/>
              <w:bottom w:w="80" w:type="dxa"/>
              <w:end w:w="120" w:type="dxa"/>
            </w:tcMar>
            <w:vAlign w:val="center"/>
          </w:tcPr>
          <w:p>
            <w:r>
              <w:rPr>
                <w:rFonts w:ascii="Calibri" w:hAnsi="Calibri"/>
                <w:sz w:val="19"/>
              </w:rPr>
              <w:t>Pressure 5 → 5.4 barg</w:t>
            </w:r>
          </w:p>
        </w:tc>
      </w:tr>
      <w:tr>
        <w:tc>
          <w:tcPr>
            <w:tcW w:type="dxa" w:w="1656"/>
            <w:shd w:fill="F5F8FA"/>
            <w:tcMar>
              <w:top w:w="80" w:type="dxa"/>
              <w:start w:w="120" w:type="dxa"/>
              <w:bottom w:w="80" w:type="dxa"/>
              <w:end w:w="120" w:type="dxa"/>
            </w:tcMar>
            <w:vAlign w:val="center"/>
          </w:tcPr>
          <w:p>
            <w:r>
              <w:rPr>
                <w:rFonts w:ascii="Calibri" w:hAnsi="Calibri"/>
                <w:sz w:val="19"/>
              </w:rPr>
              <w:t>580</w:t>
            </w:r>
          </w:p>
        </w:tc>
        <w:tc>
          <w:tcPr>
            <w:tcW w:type="dxa" w:w="7704"/>
            <w:shd w:fill="F5F8FA"/>
            <w:tcMar>
              <w:top w:w="80" w:type="dxa"/>
              <w:start w:w="120" w:type="dxa"/>
              <w:bottom w:w="80" w:type="dxa"/>
              <w:end w:w="120" w:type="dxa"/>
            </w:tcMar>
            <w:vAlign w:val="center"/>
          </w:tcPr>
          <w:p>
            <w:r>
              <w:rPr>
                <w:rFonts w:ascii="Calibri" w:hAnsi="Calibri"/>
                <w:sz w:val="19"/>
              </w:rPr>
              <w:t>Pressure → 5 barg</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For each target or disturbance change, predict the initial direction of both valves and both CVs. Pay special attention to the pressure event: it directly raises flow and lowers temperature.</w:t>
            </w:r>
          </w:p>
        </w:tc>
      </w:tr>
    </w:tbl>
    <w:p>
      <w:pPr>
        <w:spacing w:after="0"/>
      </w:pPr>
    </w:p>
    <w:p>
      <w:pPr>
        <w:pStyle w:val="Heading2"/>
      </w:pPr>
      <w:r>
        <w:t>5.2 Acceptance criteria</w:t>
      </w:r>
    </w:p>
    <w:p>
      <w:pPr>
        <w:pStyle w:val="ListBullet"/>
      </w:pPr>
      <w:r>
        <w:t>Zero solver failures.</w:t>
      </w:r>
    </w:p>
    <w:p>
      <w:pPr>
        <w:pStyle w:val="ListBullet"/>
      </w:pPr>
      <w:r>
        <w:t>Flow remains within 45–75 m³/h and temperature within 55–75 °C.</w:t>
      </w:r>
    </w:p>
    <w:p>
      <w:pPr>
        <w:pStyle w:val="ListBullet"/>
      </w:pPr>
      <w:r>
        <w:t>Both valve positions remain within 25–75%.</w:t>
      </w:r>
    </w:p>
    <w:p>
      <w:pPr>
        <w:pStyle w:val="ListBullet"/>
      </w:pPr>
      <w:r>
        <w:t>Neither valve moves more than 1.000001 percentage points per sample.</w:t>
      </w:r>
    </w:p>
    <w:p>
      <w:pPr>
        <w:pStyle w:val="ListBullet"/>
      </w:pPr>
      <w:r>
        <w:t>Both CVs meet their intermediate setpoint checks within 0.15 engineering units.</w:t>
      </w:r>
    </w:p>
    <w:p>
      <w:pPr>
        <w:pStyle w:val="ListBullet"/>
      </w:pPr>
      <w:r>
        <w:t>Final flow and temperature errors are each below 0.1 engineering units.</w:t>
      </w:r>
    </w:p>
    <w:p>
      <w:pPr>
        <w:pStyle w:val="Heading2"/>
      </w:pPr>
      <w:r>
        <w:t>5.3 Validate and run</w:t>
      </w:r>
    </w:p>
    <w:p>
      <w:pPr>
        <w:pStyle w:val="CodeBlock"/>
        <w:keepLines/>
        <w:shd w:fill="F2F4F6"/>
      </w:pPr>
      <w:r>
        <w:t>validate_application.bat applications\my_hx\application.toml applications\my_hx\simulation.toml applications\my_hx\opc.toml</w:t>
      </w:r>
      <w:r>
        <w:br/>
      </w:r>
      <w:r>
        <w:t>run_simulation.bat applications\my_hx\application.toml applications\my_hx\simulation.toml</w:t>
      </w:r>
    </w:p>
    <w:p>
      <w:pPr>
        <w:keepNext/>
        <w:jc w:val="center"/>
      </w:pPr>
      <w:r>
        <w:drawing>
          <wp:inline xmlns:a="http://schemas.openxmlformats.org/drawingml/2006/main" xmlns:pic="http://schemas.openxmlformats.org/drawingml/2006/picture">
            <wp:extent cx="5806440" cy="4167473"/>
            <wp:docPr id="3" name="Picture 3" descr="Figure 3. Frozen combined-scenario reference: coordinated setpoint and disturbance response." title="Figure 3"/>
            <wp:cNvGraphicFramePr>
              <a:graphicFrameLocks noChangeAspect="1"/>
            </wp:cNvGraphicFramePr>
            <a:graphic>
              <a:graphicData uri="http://schemas.openxmlformats.org/drawingml/2006/picture">
                <pic:pic>
                  <pic:nvPicPr>
                    <pic:cNvPr id="0" name="nominal_summary.png"/>
                    <pic:cNvPicPr/>
                  </pic:nvPicPr>
                  <pic:blipFill>
                    <a:blip r:embed="rId13"/>
                    <a:stretch>
                      <a:fillRect/>
                    </a:stretch>
                  </pic:blipFill>
                  <pic:spPr>
                    <a:xfrm>
                      <a:off x="0" y="0"/>
                      <a:ext cx="5806440" cy="4167473"/>
                    </a:xfrm>
                    <a:prstGeom prst="rect"/>
                  </pic:spPr>
                </pic:pic>
              </a:graphicData>
            </a:graphic>
          </wp:inline>
        </w:drawing>
      </w:r>
    </w:p>
    <w:p>
      <w:pPr>
        <w:pStyle w:val="Caption"/>
        <w:keepNext w:val="0"/>
      </w:pPr>
      <w:r>
        <w:t>Figure 3. Frozen combined-scenario reference: coordinated setpoint and disturbance response.</w:t>
      </w:r>
    </w:p>
    <w:tbl>
      <w:tblPr>
        <w:tblStyle w:val="TableGrid"/>
        <w:tblW w:type="dxa" w:w="9360"/>
        <w:jc w:val="left"/>
        <w:tblLayout w:type="fixed"/>
        <w:tblLook w:firstColumn="1" w:firstRow="1" w:lastColumn="0" w:lastRow="0" w:noHBand="0" w:noVBand="1" w:val="04A0"/>
        <w:tblInd w:w="120" w:type="dxa"/>
      </w:tblPr>
      <w:tblGrid>
        <w:gridCol w:w="3816"/>
        <w:gridCol w:w="5544"/>
      </w:tblGrid>
      <w:tr>
        <w:trPr>
          <w:tblHeader w:val="true"/>
        </w:trPr>
        <w:tc>
          <w:tcPr>
            <w:tcW w:type="dxa" w:w="3816"/>
            <w:shd w:fill="183B56"/>
            <w:tcMar>
              <w:top w:w="80" w:type="dxa"/>
              <w:start w:w="120" w:type="dxa"/>
              <w:bottom w:w="80" w:type="dxa"/>
              <w:end w:w="120" w:type="dxa"/>
            </w:tcMar>
            <w:vAlign w:val="center"/>
          </w:tcPr>
          <w:p>
            <w:r>
              <w:rPr>
                <w:rFonts w:ascii="Calibri" w:hAnsi="Calibri"/>
                <w:b/>
                <w:color w:val="FFFFFF"/>
                <w:sz w:val="20"/>
              </w:rPr>
              <w:t>Reference evidence</w:t>
            </w:r>
          </w:p>
        </w:tc>
        <w:tc>
          <w:tcPr>
            <w:tcW w:type="dxa" w:w="5544"/>
            <w:shd w:fill="183B56"/>
            <w:tcMar>
              <w:top w:w="80" w:type="dxa"/>
              <w:start w:w="120" w:type="dxa"/>
              <w:bottom w:w="80" w:type="dxa"/>
              <w:end w:w="120" w:type="dxa"/>
            </w:tcMar>
            <w:vAlign w:val="center"/>
          </w:tcPr>
          <w:p>
            <w:r>
              <w:rPr>
                <w:rFonts w:ascii="Calibri" w:hAnsi="Calibri"/>
                <w:b/>
                <w:color w:val="FFFFFF"/>
                <w:sz w:val="20"/>
              </w:rPr>
              <w:t>Value</w:t>
            </w:r>
          </w:p>
        </w:tc>
      </w:tr>
      <w:tr>
        <w:tc>
          <w:tcPr>
            <w:tcW w:type="dxa" w:w="3816"/>
            <w:tcMar>
              <w:top w:w="80" w:type="dxa"/>
              <w:start w:w="120" w:type="dxa"/>
              <w:bottom w:w="80" w:type="dxa"/>
              <w:end w:w="120" w:type="dxa"/>
            </w:tcMar>
            <w:vAlign w:val="center"/>
          </w:tcPr>
          <w:p>
            <w:r>
              <w:rPr>
                <w:rFonts w:ascii="Calibri" w:hAnsi="Calibri"/>
                <w:sz w:val="19"/>
              </w:rPr>
              <w:t>Flow range</w:t>
            </w:r>
          </w:p>
        </w:tc>
        <w:tc>
          <w:tcPr>
            <w:tcW w:type="dxa" w:w="5544"/>
            <w:tcMar>
              <w:top w:w="80" w:type="dxa"/>
              <w:start w:w="120" w:type="dxa"/>
              <w:bottom w:w="80" w:type="dxa"/>
              <w:end w:w="120" w:type="dxa"/>
            </w:tcMar>
            <w:vAlign w:val="center"/>
          </w:tcPr>
          <w:p>
            <w:r>
              <w:rPr>
                <w:rFonts w:ascii="Calibri" w:hAnsi="Calibri"/>
                <w:sz w:val="19"/>
              </w:rPr>
              <w:t>57.43798–64.00357 m³/h</w:t>
            </w:r>
          </w:p>
        </w:tc>
      </w:tr>
      <w:tr>
        <w:tc>
          <w:tcPr>
            <w:tcW w:type="dxa" w:w="3816"/>
            <w:shd w:fill="F5F8FA"/>
            <w:tcMar>
              <w:top w:w="80" w:type="dxa"/>
              <w:start w:w="120" w:type="dxa"/>
              <w:bottom w:w="80" w:type="dxa"/>
              <w:end w:w="120" w:type="dxa"/>
            </w:tcMar>
            <w:vAlign w:val="center"/>
          </w:tcPr>
          <w:p>
            <w:r>
              <w:rPr>
                <w:rFonts w:ascii="Calibri" w:hAnsi="Calibri"/>
                <w:sz w:val="19"/>
              </w:rPr>
              <w:t>Temperature range</w:t>
            </w:r>
          </w:p>
        </w:tc>
        <w:tc>
          <w:tcPr>
            <w:tcW w:type="dxa" w:w="5544"/>
            <w:shd w:fill="F5F8FA"/>
            <w:tcMar>
              <w:top w:w="80" w:type="dxa"/>
              <w:start w:w="120" w:type="dxa"/>
              <w:bottom w:w="80" w:type="dxa"/>
              <w:end w:w="120" w:type="dxa"/>
            </w:tcMar>
            <w:vAlign w:val="center"/>
          </w:tcPr>
          <w:p>
            <w:r>
              <w:rPr>
                <w:rFonts w:ascii="Calibri" w:hAnsi="Calibri"/>
                <w:sz w:val="19"/>
              </w:rPr>
              <w:t>63.61929–67.04813 °C</w:t>
            </w:r>
          </w:p>
        </w:tc>
      </w:tr>
      <w:tr>
        <w:tc>
          <w:tcPr>
            <w:tcW w:type="dxa" w:w="3816"/>
            <w:tcMar>
              <w:top w:w="80" w:type="dxa"/>
              <w:start w:w="120" w:type="dxa"/>
              <w:bottom w:w="80" w:type="dxa"/>
              <w:end w:w="120" w:type="dxa"/>
            </w:tcMar>
            <w:vAlign w:val="center"/>
          </w:tcPr>
          <w:p>
            <w:r>
              <w:rPr>
                <w:rFonts w:ascii="Calibri" w:hAnsi="Calibri"/>
                <w:sz w:val="19"/>
              </w:rPr>
              <w:t>Largest HX-valve move</w:t>
            </w:r>
          </w:p>
        </w:tc>
        <w:tc>
          <w:tcPr>
            <w:tcW w:type="dxa" w:w="5544"/>
            <w:tcMar>
              <w:top w:w="80" w:type="dxa"/>
              <w:start w:w="120" w:type="dxa"/>
              <w:bottom w:w="80" w:type="dxa"/>
              <w:end w:w="120" w:type="dxa"/>
            </w:tcMar>
            <w:vAlign w:val="center"/>
          </w:tcPr>
          <w:p>
            <w:r>
              <w:rPr>
                <w:rFonts w:ascii="Calibri" w:hAnsi="Calibri"/>
                <w:sz w:val="19"/>
              </w:rPr>
              <w:t>0.99999998 percentage points/sample</w:t>
            </w:r>
          </w:p>
        </w:tc>
      </w:tr>
      <w:tr>
        <w:tc>
          <w:tcPr>
            <w:tcW w:type="dxa" w:w="3816"/>
            <w:shd w:fill="F5F8FA"/>
            <w:tcMar>
              <w:top w:w="80" w:type="dxa"/>
              <w:start w:w="120" w:type="dxa"/>
              <w:bottom w:w="80" w:type="dxa"/>
              <w:end w:w="120" w:type="dxa"/>
            </w:tcMar>
            <w:vAlign w:val="center"/>
          </w:tcPr>
          <w:p>
            <w:r>
              <w:rPr>
                <w:rFonts w:ascii="Calibri" w:hAnsi="Calibri"/>
                <w:sz w:val="19"/>
              </w:rPr>
              <w:t>Largest bypass move</w:t>
            </w:r>
          </w:p>
        </w:tc>
        <w:tc>
          <w:tcPr>
            <w:tcW w:type="dxa" w:w="5544"/>
            <w:shd w:fill="F5F8FA"/>
            <w:tcMar>
              <w:top w:w="80" w:type="dxa"/>
              <w:start w:w="120" w:type="dxa"/>
              <w:bottom w:w="80" w:type="dxa"/>
              <w:end w:w="120" w:type="dxa"/>
            </w:tcMar>
            <w:vAlign w:val="center"/>
          </w:tcPr>
          <w:p>
            <w:r>
              <w:rPr>
                <w:rFonts w:ascii="Calibri" w:hAnsi="Calibri"/>
                <w:sz w:val="19"/>
              </w:rPr>
              <w:t>1.00000001 percentage points/sample</w:t>
            </w:r>
          </w:p>
        </w:tc>
      </w:tr>
      <w:tr>
        <w:tc>
          <w:tcPr>
            <w:tcW w:type="dxa" w:w="3816"/>
            <w:tcMar>
              <w:top w:w="80" w:type="dxa"/>
              <w:start w:w="120" w:type="dxa"/>
              <w:bottom w:w="80" w:type="dxa"/>
              <w:end w:w="120" w:type="dxa"/>
            </w:tcMar>
            <w:vAlign w:val="center"/>
          </w:tcPr>
          <w:p>
            <w:r>
              <w:rPr>
                <w:rFonts w:ascii="Calibri" w:hAnsi="Calibri"/>
                <w:sz w:val="19"/>
              </w:rPr>
              <w:t>Final errors</w:t>
            </w:r>
          </w:p>
        </w:tc>
        <w:tc>
          <w:tcPr>
            <w:tcW w:type="dxa" w:w="5544"/>
            <w:tcMar>
              <w:top w:w="80" w:type="dxa"/>
              <w:start w:w="120" w:type="dxa"/>
              <w:bottom w:w="80" w:type="dxa"/>
              <w:end w:w="120" w:type="dxa"/>
            </w:tcMar>
            <w:vAlign w:val="center"/>
          </w:tcPr>
          <w:p>
            <w:r>
              <w:rPr>
                <w:rFonts w:ascii="Calibri" w:hAnsi="Calibri"/>
                <w:sz w:val="19"/>
              </w:rPr>
              <w:t>&lt;0.000002 in both CV engineering units</w:t>
            </w:r>
          </w:p>
        </w:tc>
      </w:tr>
      <w:tr>
        <w:tc>
          <w:tcPr>
            <w:tcW w:type="dxa" w:w="3816"/>
            <w:shd w:fill="F5F8FA"/>
            <w:tcMar>
              <w:top w:w="80" w:type="dxa"/>
              <w:start w:w="120" w:type="dxa"/>
              <w:bottom w:w="80" w:type="dxa"/>
              <w:end w:w="120" w:type="dxa"/>
            </w:tcMar>
            <w:vAlign w:val="center"/>
          </w:tcPr>
          <w:p>
            <w:r>
              <w:rPr>
                <w:rFonts w:ascii="Calibri" w:hAnsi="Calibri"/>
                <w:sz w:val="19"/>
              </w:rPr>
              <w:t>Acceptance</w:t>
            </w:r>
          </w:p>
        </w:tc>
        <w:tc>
          <w:tcPr>
            <w:tcW w:type="dxa" w:w="5544"/>
            <w:shd w:fill="F5F8FA"/>
            <w:tcMar>
              <w:top w:w="80" w:type="dxa"/>
              <w:start w:w="120" w:type="dxa"/>
              <w:bottom w:w="80" w:type="dxa"/>
              <w:end w:w="120" w:type="dxa"/>
            </w:tcMar>
            <w:vAlign w:val="center"/>
          </w:tcPr>
          <w:p>
            <w:r>
              <w:rPr>
                <w:rFonts w:ascii="Calibri" w:hAnsi="Calibri"/>
                <w:sz w:val="19"/>
              </w:rPr>
              <w:t>PASS; zero solver failures</w:t>
            </w:r>
          </w:p>
        </w:tc>
      </w:tr>
    </w:tbl>
    <w:p>
      <w:pPr>
        <w:spacing w:after="0"/>
      </w:pPr>
    </w:p>
    <w:p>
      <w:pPr>
        <w:pStyle w:val="Heading1"/>
        <w:pageBreakBefore/>
      </w:pPr>
      <w:r>
        <w:t>Module 6 — Isolate the value of measured-DV feedforward</w:t>
      </w:r>
    </w:p>
    <w:p>
      <w:pPr>
        <w:pStyle w:val="Heading2"/>
      </w:pPr>
      <w:r>
        <w:t>6.1 A controlled comparison</w:t>
      </w:r>
    </w:p>
    <w:p>
      <w:r>
        <w:t>Use the same plant, disturbance events, targets, bounds and CV tuning in both runs. The only controller difference is use_measured_disturbances. With feedforward disabled, the actual twin disturbances still occur; only the controller’s DV values are held nominal. This isolates the effect of using the measurements.</w:t>
      </w:r>
    </w:p>
    <w:p>
      <w:pPr>
        <w:pStyle w:val="CodeBlock"/>
        <w:keepLines/>
        <w:shd w:fill="F2F4F6"/>
      </w:pPr>
      <w:r>
        <w:t>run_simulation.bat applications\my_hx\application.toml applications\my_hx\disturbances.toml --output results\hx_ff_on</w:t>
      </w:r>
      <w:r>
        <w:br/>
      </w:r>
      <w:r>
        <w:t>run_simulation.bat applications\my_hx\application_no_feedforward.toml applications\my_hx\disturbances.toml --output results\hx_ff_off</w:t>
      </w:r>
    </w:p>
    <w:p>
      <w:pPr>
        <w:keepNext/>
        <w:jc w:val="center"/>
      </w:pPr>
      <w:r>
        <w:drawing>
          <wp:inline xmlns:a="http://schemas.openxmlformats.org/drawingml/2006/main" xmlns:pic="http://schemas.openxmlformats.org/drawingml/2006/picture">
            <wp:extent cx="5806440" cy="3483864"/>
            <wp:docPr id="4" name="Picture 4" descr="Figure 4. Feedforward reduces error, but feedback remains essential because the model is imperfect and not every disturbance will be measured." title="Figure 4"/>
            <wp:cNvGraphicFramePr>
              <a:graphicFrameLocks noChangeAspect="1"/>
            </wp:cNvGraphicFramePr>
            <a:graphic>
              <a:graphicData uri="http://schemas.openxmlformats.org/drawingml/2006/picture">
                <pic:pic>
                  <pic:nvPicPr>
                    <pic:cNvPr id="0" name="comparison.png"/>
                    <pic:cNvPicPr/>
                  </pic:nvPicPr>
                  <pic:blipFill>
                    <a:blip r:embed="rId14"/>
                    <a:stretch>
                      <a:fillRect/>
                    </a:stretch>
                  </pic:blipFill>
                  <pic:spPr>
                    <a:xfrm>
                      <a:off x="0" y="0"/>
                      <a:ext cx="5806440" cy="3483864"/>
                    </a:xfrm>
                    <a:prstGeom prst="rect"/>
                  </pic:spPr>
                </pic:pic>
              </a:graphicData>
            </a:graphic>
          </wp:inline>
        </w:drawing>
      </w:r>
    </w:p>
    <w:p>
      <w:pPr>
        <w:pStyle w:val="Caption"/>
        <w:keepNext w:val="0"/>
      </w:pPr>
      <w:r>
        <w:t>Figure 4. Feedforward reduces error, but feedback remains essential because the model is imperfect and not every disturbance will be measured.</w:t>
      </w:r>
    </w:p>
    <w:tbl>
      <w:tblPr>
        <w:tblStyle w:val="TableGrid"/>
        <w:tblW w:type="dxa" w:w="9360"/>
        <w:jc w:val="left"/>
        <w:tblLayout w:type="fixed"/>
        <w:tblLook w:firstColumn="1" w:firstRow="1" w:lastColumn="0" w:lastRow="0" w:noHBand="0" w:noVBand="1" w:val="04A0"/>
        <w:tblInd w:w="120" w:type="dxa"/>
      </w:tblPr>
      <w:tblGrid>
        <w:gridCol w:w="3384"/>
        <w:gridCol w:w="5976"/>
      </w:tblGrid>
      <w:tr>
        <w:trPr>
          <w:tblHeader w:val="true"/>
        </w:trPr>
        <w:tc>
          <w:tcPr>
            <w:tcW w:type="dxa" w:w="3384"/>
            <w:shd w:fill="183B56"/>
            <w:tcMar>
              <w:top w:w="80" w:type="dxa"/>
              <w:start w:w="120" w:type="dxa"/>
              <w:bottom w:w="80" w:type="dxa"/>
              <w:end w:w="120" w:type="dxa"/>
            </w:tcMar>
            <w:vAlign w:val="center"/>
          </w:tcPr>
          <w:p>
            <w:r>
              <w:rPr>
                <w:rFonts w:ascii="Calibri" w:hAnsi="Calibri"/>
                <w:b/>
                <w:color w:val="FFFFFF"/>
                <w:sz w:val="20"/>
              </w:rPr>
              <w:t>Metric</w:t>
            </w:r>
          </w:p>
        </w:tc>
        <w:tc>
          <w:tcPr>
            <w:tcW w:type="dxa" w:w="5976"/>
            <w:shd w:fill="183B56"/>
            <w:tcMar>
              <w:top w:w="80" w:type="dxa"/>
              <w:start w:w="120" w:type="dxa"/>
              <w:bottom w:w="80" w:type="dxa"/>
              <w:end w:w="120" w:type="dxa"/>
            </w:tcMar>
            <w:vAlign w:val="center"/>
          </w:tcPr>
          <w:p>
            <w:r>
              <w:rPr>
                <w:rFonts w:ascii="Calibri" w:hAnsi="Calibri"/>
                <w:b/>
                <w:color w:val="FFFFFF"/>
                <w:sz w:val="20"/>
              </w:rPr>
              <w:t>Feedforward on / off</w:t>
            </w:r>
          </w:p>
        </w:tc>
      </w:tr>
      <w:tr>
        <w:tc>
          <w:tcPr>
            <w:tcW w:type="dxa" w:w="3384"/>
            <w:tcMar>
              <w:top w:w="80" w:type="dxa"/>
              <w:start w:w="120" w:type="dxa"/>
              <w:bottom w:w="80" w:type="dxa"/>
              <w:end w:w="120" w:type="dxa"/>
            </w:tcMar>
            <w:vAlign w:val="center"/>
          </w:tcPr>
          <w:p>
            <w:r>
              <w:rPr>
                <w:rFonts w:ascii="Calibri" w:hAnsi="Calibri"/>
                <w:sz w:val="19"/>
              </w:rPr>
              <w:t>Flow IAE</w:t>
            </w:r>
          </w:p>
        </w:tc>
        <w:tc>
          <w:tcPr>
            <w:tcW w:type="dxa" w:w="5976"/>
            <w:tcMar>
              <w:top w:w="80" w:type="dxa"/>
              <w:start w:w="120" w:type="dxa"/>
              <w:bottom w:w="80" w:type="dxa"/>
              <w:end w:w="120" w:type="dxa"/>
            </w:tcMar>
            <w:vAlign w:val="center"/>
          </w:tcPr>
          <w:p>
            <w:r>
              <w:rPr>
                <w:rFonts w:ascii="Calibri" w:hAnsi="Calibri"/>
                <w:sz w:val="19"/>
              </w:rPr>
              <w:t>2.244 / 3.157 (m³/h)·min</w:t>
            </w:r>
          </w:p>
        </w:tc>
      </w:tr>
      <w:tr>
        <w:tc>
          <w:tcPr>
            <w:tcW w:type="dxa" w:w="3384"/>
            <w:shd w:fill="F5F8FA"/>
            <w:tcMar>
              <w:top w:w="80" w:type="dxa"/>
              <w:start w:w="120" w:type="dxa"/>
              <w:bottom w:w="80" w:type="dxa"/>
              <w:end w:w="120" w:type="dxa"/>
            </w:tcMar>
            <w:vAlign w:val="center"/>
          </w:tcPr>
          <w:p>
            <w:r>
              <w:rPr>
                <w:rFonts w:ascii="Calibri" w:hAnsi="Calibri"/>
                <w:sz w:val="19"/>
              </w:rPr>
              <w:t>Flow peak error</w:t>
            </w:r>
          </w:p>
        </w:tc>
        <w:tc>
          <w:tcPr>
            <w:tcW w:type="dxa" w:w="5976"/>
            <w:shd w:fill="F5F8FA"/>
            <w:tcMar>
              <w:top w:w="80" w:type="dxa"/>
              <w:start w:w="120" w:type="dxa"/>
              <w:bottom w:w="80" w:type="dxa"/>
              <w:end w:w="120" w:type="dxa"/>
            </w:tcMar>
            <w:vAlign w:val="center"/>
          </w:tcPr>
          <w:p>
            <w:r>
              <w:rPr>
                <w:rFonts w:ascii="Calibri" w:hAnsi="Calibri"/>
                <w:sz w:val="19"/>
              </w:rPr>
              <w:t>2.562 / 3.431 m³/h</w:t>
            </w:r>
          </w:p>
        </w:tc>
      </w:tr>
      <w:tr>
        <w:tc>
          <w:tcPr>
            <w:tcW w:type="dxa" w:w="3384"/>
            <w:tcMar>
              <w:top w:w="80" w:type="dxa"/>
              <w:start w:w="120" w:type="dxa"/>
              <w:bottom w:w="80" w:type="dxa"/>
              <w:end w:w="120" w:type="dxa"/>
            </w:tcMar>
            <w:vAlign w:val="center"/>
          </w:tcPr>
          <w:p>
            <w:r>
              <w:rPr>
                <w:rFonts w:ascii="Calibri" w:hAnsi="Calibri"/>
                <w:sz w:val="19"/>
              </w:rPr>
              <w:t>Temperature IAE</w:t>
            </w:r>
          </w:p>
        </w:tc>
        <w:tc>
          <w:tcPr>
            <w:tcW w:type="dxa" w:w="5976"/>
            <w:tcMar>
              <w:top w:w="80" w:type="dxa"/>
              <w:start w:w="120" w:type="dxa"/>
              <w:bottom w:w="80" w:type="dxa"/>
              <w:end w:w="120" w:type="dxa"/>
            </w:tcMar>
            <w:vAlign w:val="center"/>
          </w:tcPr>
          <w:p>
            <w:r>
              <w:rPr>
                <w:rFonts w:ascii="Calibri" w:hAnsi="Calibri"/>
                <w:sz w:val="19"/>
              </w:rPr>
              <w:t>0.757 / 2.063 °C·min</w:t>
            </w:r>
          </w:p>
        </w:tc>
      </w:tr>
      <w:tr>
        <w:tc>
          <w:tcPr>
            <w:tcW w:type="dxa" w:w="3384"/>
            <w:shd w:fill="F5F8FA"/>
            <w:tcMar>
              <w:top w:w="80" w:type="dxa"/>
              <w:start w:w="120" w:type="dxa"/>
              <w:bottom w:w="80" w:type="dxa"/>
              <w:end w:w="120" w:type="dxa"/>
            </w:tcMar>
            <w:vAlign w:val="center"/>
          </w:tcPr>
          <w:p>
            <w:r>
              <w:rPr>
                <w:rFonts w:ascii="Calibri" w:hAnsi="Calibri"/>
                <w:sz w:val="19"/>
              </w:rPr>
              <w:t>Temperature peak error</w:t>
            </w:r>
          </w:p>
        </w:tc>
        <w:tc>
          <w:tcPr>
            <w:tcW w:type="dxa" w:w="5976"/>
            <w:shd w:fill="F5F8FA"/>
            <w:tcMar>
              <w:top w:w="80" w:type="dxa"/>
              <w:start w:w="120" w:type="dxa"/>
              <w:bottom w:w="80" w:type="dxa"/>
              <w:end w:w="120" w:type="dxa"/>
            </w:tcMar>
            <w:vAlign w:val="center"/>
          </w:tcPr>
          <w:p>
            <w:r>
              <w:rPr>
                <w:rFonts w:ascii="Calibri" w:hAnsi="Calibri"/>
                <w:sz w:val="19"/>
              </w:rPr>
              <w:t>0.381 / 0.935 °C</w:t>
            </w:r>
          </w:p>
        </w:tc>
      </w:tr>
    </w:tbl>
    <w:p>
      <w:pPr>
        <w:spacing w:after="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20"/>
              </w:rPr>
              <w:t xml:space="preserve">INTERPRET CAREFULLY  </w:t>
            </w:r>
            <w:r>
              <w:rPr>
                <w:rFonts w:ascii="Calibri" w:hAnsi="Calibri"/>
                <w:color w:val="1A1A1A"/>
                <w:sz w:val="20"/>
              </w:rPr>
              <w:t>Feedforward is better in this supplied case because the DV models are useful. It is not automatically beneficial when measurements are bad or disturbance models have incorrect sign, timing or gain.</w:t>
            </w:r>
          </w:p>
        </w:tc>
      </w:tr>
    </w:tbl>
    <w:p>
      <w:pPr>
        <w:spacing w:after="0"/>
      </w:pPr>
    </w:p>
    <w:p>
      <w:pPr>
        <w:pStyle w:val="Heading2"/>
      </w:pPr>
      <w:r>
        <w:t>6.2 Feedforward is not preview</w:t>
      </w:r>
    </w:p>
    <w:p>
      <w:r>
        <w:t>The controller learns of a DV change only when the measurement changes. It then predicts the future CV effect using the path lag and dead time. It does not read the simulation event table or know a disturbance before it is measured.</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FF4D6"/>
          </w:tcPr>
          <w:p>
            <w:pPr>
              <w:spacing w:after="40"/>
            </w:pPr>
            <w:r>
              <w:rPr>
                <w:rFonts w:ascii="Calibri" w:hAnsi="Calibri"/>
                <w:b/>
                <w:color w:val="C78A16"/>
                <w:sz w:val="20"/>
              </w:rPr>
              <w:t xml:space="preserve">PAUSE AND PREDICT  </w:t>
            </w:r>
            <w:r>
              <w:rPr>
                <w:rFonts w:ascii="Calibri" w:hAnsi="Calibri"/>
                <w:color w:val="1A1A1A"/>
                <w:sz w:val="20"/>
              </w:rPr>
              <w:t>Why is inlet-temperature feedforward especially helpful when its outlet-temperature path includes 15 seconds of dead time?</w:t>
            </w:r>
          </w:p>
        </w:tc>
      </w:tr>
    </w:tbl>
    <w:p>
      <w:pPr>
        <w:spacing w:after="0"/>
      </w:pPr>
    </w:p>
    <w:p>
      <w:pPr>
        <w:pStyle w:val="Heading1"/>
        <w:pageBreakBefore/>
      </w:pPr>
      <w:r>
        <w:t>Module 7 — Deliberate mismatch and detuning</w:t>
      </w:r>
    </w:p>
    <w:p>
      <w:pPr>
        <w:pStyle w:val="Heading2"/>
      </w:pPr>
      <w:r>
        <w:t>7.1 The mismatch challenge</w:t>
      </w:r>
    </w:p>
    <w:p>
      <w:r>
        <w:t>The mismatch twin multiplies every nonzero plant gain by 1.15, every lag by 1.20, and adds 5 seconds to every delay. The controller model is unchanged. This deliberately combines magnitude and timing errors.</w:t>
      </w:r>
    </w:p>
    <w:p>
      <w:pPr>
        <w:pStyle w:val="CodeBlock"/>
        <w:keepLines/>
        <w:shd w:fill="F2F4F6"/>
      </w:pPr>
      <w:r>
        <w:t>run_simulation.bat applications\my_hx\application.toml applications\my_hx\mismatch.toml --output results\hx_mismatch_aggressive</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FCE9E7"/>
          </w:tcPr>
          <w:p>
            <w:pPr>
              <w:spacing w:after="40"/>
            </w:pPr>
            <w:r>
              <w:rPr>
                <w:rFonts w:ascii="Calibri" w:hAnsi="Calibri"/>
                <w:b/>
                <w:color w:val="A33A35"/>
                <w:sz w:val="20"/>
              </w:rPr>
              <w:t xml:space="preserve">EXPECTED HONEST FAILURE  </w:t>
            </w:r>
            <w:r>
              <w:rPr>
                <w:rFonts w:ascii="Calibri" w:hAnsi="Calibri"/>
                <w:color w:val="1A1A1A"/>
                <w:sz w:val="20"/>
              </w:rPr>
              <w:t>The nominal move weights of 0.05 produce sustained flow oscillation. Final-value-only acceptance could miss it, so the scenario checks the complete final five-minute window.</w:t>
            </w:r>
          </w:p>
        </w:tc>
      </w:tr>
    </w:tbl>
    <w:p>
      <w:pPr>
        <w:spacing w:after="0"/>
      </w:pPr>
    </w:p>
    <w:p>
      <w:pPr>
        <w:pStyle w:val="Heading2"/>
      </w:pPr>
      <w:r>
        <w:t>7.2 Detune only the move penalties</w:t>
      </w:r>
    </w:p>
    <w:p>
      <w:r>
        <w:t>Increase each valve move weight from 0.05 to 0.5. Do not change the plant, CV weights, horizons, limits or mismatch. This makes the comparison interpretable.</w:t>
      </w:r>
    </w:p>
    <w:p>
      <w:pPr>
        <w:pStyle w:val="CodeBlock"/>
        <w:keepLines/>
        <w:shd w:fill="F2F4F6"/>
      </w:pPr>
      <w:r>
        <w:t>run_simulation.bat applications\my_hx\application_detuned.toml applications\my_hx\mismatch.toml --output results\hx_mismatch_detuned</w:t>
      </w:r>
    </w:p>
    <w:p>
      <w:pPr>
        <w:keepNext/>
        <w:jc w:val="center"/>
      </w:pPr>
      <w:r>
        <w:drawing>
          <wp:inline xmlns:a="http://schemas.openxmlformats.org/drawingml/2006/main" xmlns:pic="http://schemas.openxmlformats.org/drawingml/2006/picture">
            <wp:extent cx="5806440" cy="3483864"/>
            <wp:docPr id="5" name="Picture 5" descr="Figure 5. Detuning removes sustained oscillation in this mismatch case, while some transient peaks become larger." title="Figure 5"/>
            <wp:cNvGraphicFramePr>
              <a:graphicFrameLocks noChangeAspect="1"/>
            </wp:cNvGraphicFramePr>
            <a:graphic>
              <a:graphicData uri="http://schemas.openxmlformats.org/drawingml/2006/picture">
                <pic:pic>
                  <pic:nvPicPr>
                    <pic:cNvPr id="0" name="comparison.png"/>
                    <pic:cNvPicPr/>
                  </pic:nvPicPr>
                  <pic:blipFill>
                    <a:blip r:embed="rId15"/>
                    <a:stretch>
                      <a:fillRect/>
                    </a:stretch>
                  </pic:blipFill>
                  <pic:spPr>
                    <a:xfrm>
                      <a:off x="0" y="0"/>
                      <a:ext cx="5806440" cy="3483864"/>
                    </a:xfrm>
                    <a:prstGeom prst="rect"/>
                  </pic:spPr>
                </pic:pic>
              </a:graphicData>
            </a:graphic>
          </wp:inline>
        </w:drawing>
      </w:r>
    </w:p>
    <w:p>
      <w:pPr>
        <w:pStyle w:val="Caption"/>
        <w:keepNext w:val="0"/>
      </w:pPr>
      <w:r>
        <w:t>Figure 5. Detuning removes sustained oscillation in this mismatch case, while some transient peaks become larger.</w:t>
      </w:r>
    </w:p>
    <w:tbl>
      <w:tblPr>
        <w:tblStyle w:val="TableGrid"/>
        <w:tblW w:type="dxa" w:w="9360"/>
        <w:jc w:val="left"/>
        <w:tblLayout w:type="fixed"/>
        <w:tblLook w:firstColumn="1" w:firstRow="1" w:lastColumn="0" w:lastRow="0" w:noHBand="0" w:noVBand="1" w:val="04A0"/>
        <w:tblInd w:w="120" w:type="dxa"/>
      </w:tblPr>
      <w:tblGrid>
        <w:gridCol w:w="4536"/>
        <w:gridCol w:w="4824"/>
      </w:tblGrid>
      <w:tr>
        <w:trPr>
          <w:tblHeader w:val="true"/>
        </w:trPr>
        <w:tc>
          <w:tcPr>
            <w:tcW w:type="dxa" w:w="4536"/>
            <w:shd w:fill="183B56"/>
            <w:tcMar>
              <w:top w:w="80" w:type="dxa"/>
              <w:start w:w="120" w:type="dxa"/>
              <w:bottom w:w="80" w:type="dxa"/>
              <w:end w:w="120" w:type="dxa"/>
            </w:tcMar>
            <w:vAlign w:val="center"/>
          </w:tcPr>
          <w:p>
            <w:r>
              <w:rPr>
                <w:rFonts w:ascii="Calibri" w:hAnsi="Calibri"/>
                <w:b/>
                <w:color w:val="FFFFFF"/>
                <w:sz w:val="20"/>
              </w:rPr>
              <w:t>Final five-minute maximum error</w:t>
            </w:r>
          </w:p>
        </w:tc>
        <w:tc>
          <w:tcPr>
            <w:tcW w:type="dxa" w:w="4824"/>
            <w:shd w:fill="183B56"/>
            <w:tcMar>
              <w:top w:w="80" w:type="dxa"/>
              <w:start w:w="120" w:type="dxa"/>
              <w:bottom w:w="80" w:type="dxa"/>
              <w:end w:w="120" w:type="dxa"/>
            </w:tcMar>
            <w:vAlign w:val="center"/>
          </w:tcPr>
          <w:p>
            <w:r>
              <w:rPr>
                <w:rFonts w:ascii="Calibri" w:hAnsi="Calibri"/>
                <w:b/>
                <w:color w:val="FFFFFF"/>
                <w:sz w:val="20"/>
              </w:rPr>
              <w:t>Aggressive / detuned</w:t>
            </w:r>
          </w:p>
        </w:tc>
      </w:tr>
      <w:tr>
        <w:tc>
          <w:tcPr>
            <w:tcW w:type="dxa" w:w="4536"/>
            <w:tcMar>
              <w:top w:w="80" w:type="dxa"/>
              <w:start w:w="120" w:type="dxa"/>
              <w:bottom w:w="80" w:type="dxa"/>
              <w:end w:w="120" w:type="dxa"/>
            </w:tcMar>
            <w:vAlign w:val="center"/>
          </w:tcPr>
          <w:p>
            <w:r>
              <w:rPr>
                <w:rFonts w:ascii="Calibri" w:hAnsi="Calibri"/>
                <w:sz w:val="19"/>
              </w:rPr>
              <w:t>Flow</w:t>
            </w:r>
          </w:p>
        </w:tc>
        <w:tc>
          <w:tcPr>
            <w:tcW w:type="dxa" w:w="4824"/>
            <w:tcMar>
              <w:top w:w="80" w:type="dxa"/>
              <w:start w:w="120" w:type="dxa"/>
              <w:bottom w:w="80" w:type="dxa"/>
              <w:end w:w="120" w:type="dxa"/>
            </w:tcMar>
            <w:vAlign w:val="center"/>
          </w:tcPr>
          <w:p>
            <w:r>
              <w:rPr>
                <w:rFonts w:ascii="Calibri" w:hAnsi="Calibri"/>
                <w:sz w:val="19"/>
              </w:rPr>
              <w:t>0.5777 / 0.0974 m³/h</w:t>
            </w:r>
          </w:p>
        </w:tc>
      </w:tr>
      <w:tr>
        <w:tc>
          <w:tcPr>
            <w:tcW w:type="dxa" w:w="4536"/>
            <w:shd w:fill="F5F8FA"/>
            <w:tcMar>
              <w:top w:w="80" w:type="dxa"/>
              <w:start w:w="120" w:type="dxa"/>
              <w:bottom w:w="80" w:type="dxa"/>
              <w:end w:w="120" w:type="dxa"/>
            </w:tcMar>
            <w:vAlign w:val="center"/>
          </w:tcPr>
          <w:p>
            <w:r>
              <w:rPr>
                <w:rFonts w:ascii="Calibri" w:hAnsi="Calibri"/>
                <w:sz w:val="19"/>
              </w:rPr>
              <w:t>Temperature</w:t>
            </w:r>
          </w:p>
        </w:tc>
        <w:tc>
          <w:tcPr>
            <w:tcW w:type="dxa" w:w="4824"/>
            <w:shd w:fill="F5F8FA"/>
            <w:tcMar>
              <w:top w:w="80" w:type="dxa"/>
              <w:start w:w="120" w:type="dxa"/>
              <w:bottom w:w="80" w:type="dxa"/>
              <w:end w:w="120" w:type="dxa"/>
            </w:tcMar>
            <w:vAlign w:val="center"/>
          </w:tcPr>
          <w:p>
            <w:r>
              <w:rPr>
                <w:rFonts w:ascii="Calibri" w:hAnsi="Calibri"/>
                <w:sz w:val="19"/>
              </w:rPr>
              <w:t>0.0132 / 0.0360 °C</w:t>
            </w:r>
          </w:p>
        </w:tc>
      </w:tr>
      <w:tr>
        <w:tc>
          <w:tcPr>
            <w:tcW w:type="dxa" w:w="4536"/>
            <w:tcMar>
              <w:top w:w="80" w:type="dxa"/>
              <w:start w:w="120" w:type="dxa"/>
              <w:bottom w:w="80" w:type="dxa"/>
              <w:end w:w="120" w:type="dxa"/>
            </w:tcMar>
            <w:vAlign w:val="center"/>
          </w:tcPr>
          <w:p>
            <w:r>
              <w:rPr>
                <w:rFonts w:ascii="Calibri" w:hAnsi="Calibri"/>
                <w:sz w:val="19"/>
              </w:rPr>
              <w:t>Acceptance</w:t>
            </w:r>
          </w:p>
        </w:tc>
        <w:tc>
          <w:tcPr>
            <w:tcW w:type="dxa" w:w="4824"/>
            <w:tcMar>
              <w:top w:w="80" w:type="dxa"/>
              <w:start w:w="120" w:type="dxa"/>
              <w:bottom w:w="80" w:type="dxa"/>
              <w:end w:w="120" w:type="dxa"/>
            </w:tcMar>
            <w:vAlign w:val="center"/>
          </w:tcPr>
          <w:p>
            <w:r>
              <w:rPr>
                <w:rFonts w:ascii="Calibri" w:hAnsi="Calibri"/>
                <w:sz w:val="19"/>
              </w:rPr>
              <w:t>FAIL / PASS</w:t>
            </w:r>
          </w:p>
        </w:tc>
      </w:tr>
    </w:tbl>
    <w:p>
      <w:pPr>
        <w:spacing w:after="0"/>
      </w:pPr>
    </w:p>
    <w:p>
      <w:r>
        <w:t>Detuning improves robustness here, but it is a trade-off. Temperature IAE and peak error increase in the detuned case. A controller should not be declared ‘better’ using only one metric.</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9F4EE"/>
          </w:tcPr>
          <w:p>
            <w:pPr>
              <w:spacing w:after="40"/>
            </w:pPr>
            <w:r>
              <w:rPr>
                <w:rFonts w:ascii="Calibri" w:hAnsi="Calibri"/>
                <w:b/>
                <w:color w:val="2F7D55"/>
                <w:sz w:val="20"/>
              </w:rPr>
              <w:t xml:space="preserve">ENGINEERING CONCLUSION  </w:t>
            </w:r>
            <w:r>
              <w:rPr>
                <w:rFonts w:ascii="Calibri" w:hAnsi="Calibri"/>
                <w:color w:val="1A1A1A"/>
                <w:sz w:val="20"/>
              </w:rPr>
              <w:t>Choose tuning against a declared uncertainty set and operational priorities. Passing one mismatch case does not prove general robustness.</w:t>
            </w:r>
          </w:p>
        </w:tc>
      </w:tr>
    </w:tbl>
    <w:p>
      <w:pPr>
        <w:spacing w:after="0"/>
      </w:pPr>
    </w:p>
    <w:p>
      <w:pPr>
        <w:pStyle w:val="Heading1"/>
        <w:pageBreakBefore/>
      </w:pPr>
      <w:r>
        <w:t>Module 8 — OPC and completion record</w:t>
      </w:r>
    </w:p>
    <w:p>
      <w:pPr>
        <w:pStyle w:val="Heading2"/>
      </w:pPr>
      <w:r>
        <w:t>8.1 Run the accepted nominal application through OPC UA</w:t>
      </w:r>
    </w:p>
    <w:p>
      <w:pPr>
        <w:pStyle w:val="CodeBlock"/>
        <w:keepLines/>
        <w:shd w:fill="F2F4F6"/>
      </w:pPr>
      <w:r>
        <w:t>run_digital_twin.bat applications\my_hx\application.toml applications\my_hx\simulation.toml applications\my_hx\opc.toml</w:t>
      </w:r>
    </w:p>
    <w:p>
      <w:r>
        <w:t>Wait for Twin READY, then open a second Command Prompt:</w:t>
      </w:r>
    </w:p>
    <w:p>
      <w:pPr>
        <w:pStyle w:val="CodeBlock"/>
        <w:keepLines/>
        <w:shd w:fill="F2F4F6"/>
      </w:pPr>
      <w:r>
        <w:t>run_controller.bat applications\my_hx\application.toml applications\my_hx\opc.toml</w:t>
      </w:r>
    </w:p>
    <w:p>
      <w:r>
        <w:t>Optional third window:</w:t>
      </w:r>
    </w:p>
    <w:p>
      <w:pPr>
        <w:pStyle w:val="CodeBlock"/>
        <w:keepLines/>
        <w:shd w:fill="F2F4F6"/>
      </w:pPr>
      <w:r>
        <w:t>opc_tools.bat applications\my_hx\opc.toml trend applications\my_hx\simulation.toml</w:t>
      </w:r>
    </w:p>
    <w:p>
      <w:r>
        <w:t>The OPC result should reproduce the accepted offline trajectory. The local test verifies process separation and protocol behaviour; it does not commission an external plant OPC server.</w:t>
      </w:r>
    </w:p>
    <w:p>
      <w:pPr>
        <w:pStyle w:val="Heading2"/>
      </w:pPr>
      <w:r>
        <w:t>8.2 Completion checklist</w:t>
      </w:r>
    </w:p>
    <w:p>
      <w:pPr>
        <w:pStyle w:val="ListBullet"/>
      </w:pPr>
      <w:r>
        <w:t>I built the 2×2 application from generic templates without editing Python.</w:t>
      </w:r>
    </w:p>
    <w:p>
      <w:pPr>
        <w:pStyle w:val="ListBullet"/>
      </w:pPr>
      <w:r>
        <w:t>I can explain all seven nonzero path signs.</w:t>
      </w:r>
    </w:p>
    <w:p>
      <w:pPr>
        <w:pStyle w:val="ListBullet"/>
      </w:pPr>
      <w:r>
        <w:t>I scaled CV errors before interpreting their equal weights.</w:t>
      </w:r>
    </w:p>
    <w:p>
      <w:pPr>
        <w:pStyle w:val="ListBullet"/>
      </w:pPr>
      <w:r>
        <w:t>I kept measured DVs distinct from hidden disturbances and future preview.</w:t>
      </w:r>
    </w:p>
    <w:p>
      <w:pPr>
        <w:pStyle w:val="ListBullet"/>
      </w:pPr>
      <w:r>
        <w:t>I performed a controlled feedforward-on/off comparison.</w:t>
      </w:r>
    </w:p>
    <w:p>
      <w:pPr>
        <w:pStyle w:val="ListBullet"/>
      </w:pPr>
      <w:r>
        <w:t>I observed an intentionally failed mismatch case and understand why final-value checks were insufficient.</w:t>
      </w:r>
    </w:p>
    <w:p>
      <w:pPr>
        <w:pStyle w:val="ListBullet"/>
      </w:pPr>
      <w:r>
        <w:t>I detuned only the MV move penalties and recorded both benefits and costs.</w:t>
      </w:r>
    </w:p>
    <w:p>
      <w:pPr>
        <w:pStyle w:val="ListBullet"/>
      </w:pPr>
      <w:r>
        <w:t>I can state what the OPC equivalence test does and does not prove.</w:t>
      </w:r>
    </w:p>
    <w:p>
      <w:pPr>
        <w:pStyle w:val="Heading2"/>
      </w:pPr>
      <w:r>
        <w:t>8.3 Independent-engineer evidence</w:t>
      </w:r>
    </w:p>
    <w:tbl>
      <w:tblPr>
        <w:tblStyle w:val="TableGrid"/>
        <w:tblW w:type="dxa" w:w="9360"/>
        <w:jc w:val="left"/>
        <w:tblLayout w:type="fixed"/>
        <w:tblLook w:firstColumn="1" w:firstRow="1" w:lastColumn="0" w:lastRow="0" w:noHBand="0" w:noVBand="1" w:val="04A0"/>
        <w:tblInd w:w="120" w:type="dxa"/>
      </w:tblPr>
      <w:tblGrid>
        <w:gridCol w:w="3672"/>
        <w:gridCol w:w="5688"/>
      </w:tblGrid>
      <w:tr>
        <w:trPr>
          <w:tblHeader w:val="true"/>
        </w:trPr>
        <w:tc>
          <w:tcPr>
            <w:tcW w:type="dxa" w:w="3672"/>
            <w:shd w:fill="183B56"/>
            <w:tcMar>
              <w:top w:w="80" w:type="dxa"/>
              <w:start w:w="120" w:type="dxa"/>
              <w:bottom w:w="80" w:type="dxa"/>
              <w:end w:w="120" w:type="dxa"/>
            </w:tcMar>
            <w:vAlign w:val="center"/>
          </w:tcPr>
          <w:p>
            <w:r>
              <w:rPr>
                <w:rFonts w:ascii="Calibri" w:hAnsi="Calibri"/>
                <w:b/>
                <w:color w:val="FFFFFF"/>
                <w:sz w:val="20"/>
              </w:rPr>
              <w:t>Record</w:t>
            </w:r>
          </w:p>
        </w:tc>
        <w:tc>
          <w:tcPr>
            <w:tcW w:type="dxa" w:w="5688"/>
            <w:shd w:fill="183B56"/>
            <w:tcMar>
              <w:top w:w="80" w:type="dxa"/>
              <w:start w:w="120" w:type="dxa"/>
              <w:bottom w:w="80" w:type="dxa"/>
              <w:end w:w="120" w:type="dxa"/>
            </w:tcMar>
            <w:vAlign w:val="center"/>
          </w:tcPr>
          <w:p>
            <w:r>
              <w:rPr>
                <w:rFonts w:ascii="Calibri" w:hAnsi="Calibri"/>
                <w:b/>
                <w:color w:val="FFFFFF"/>
                <w:sz w:val="20"/>
              </w:rPr>
              <w:t>Purpose</w:t>
            </w:r>
          </w:p>
        </w:tc>
      </w:tr>
      <w:tr>
        <w:tc>
          <w:tcPr>
            <w:tcW w:type="dxa" w:w="3672"/>
            <w:tcMar>
              <w:top w:w="80" w:type="dxa"/>
              <w:start w:w="120" w:type="dxa"/>
              <w:bottom w:w="80" w:type="dxa"/>
              <w:end w:w="120" w:type="dxa"/>
            </w:tcMar>
            <w:vAlign w:val="center"/>
          </w:tcPr>
          <w:p>
            <w:r>
              <w:rPr>
                <w:rFonts w:ascii="Calibri" w:hAnsi="Calibri"/>
                <w:sz w:val="19"/>
              </w:rPr>
              <w:t>Time to first valid 2×2 model</w:t>
            </w:r>
          </w:p>
        </w:tc>
        <w:tc>
          <w:tcPr>
            <w:tcW w:type="dxa" w:w="5688"/>
            <w:tcMar>
              <w:top w:w="80" w:type="dxa"/>
              <w:start w:w="120" w:type="dxa"/>
              <w:bottom w:w="80" w:type="dxa"/>
              <w:end w:w="120" w:type="dxa"/>
            </w:tcMar>
            <w:vAlign w:val="center"/>
          </w:tcPr>
          <w:p>
            <w:r>
              <w:rPr>
                <w:rFonts w:ascii="Calibri" w:hAnsi="Calibri"/>
                <w:sz w:val="19"/>
              </w:rPr>
              <w:t>Tests template and validation usability</w:t>
            </w:r>
          </w:p>
        </w:tc>
      </w:tr>
      <w:tr>
        <w:tc>
          <w:tcPr>
            <w:tcW w:type="dxa" w:w="3672"/>
            <w:shd w:fill="F5F8FA"/>
            <w:tcMar>
              <w:top w:w="80" w:type="dxa"/>
              <w:start w:w="120" w:type="dxa"/>
              <w:bottom w:w="80" w:type="dxa"/>
              <w:end w:w="120" w:type="dxa"/>
            </w:tcMar>
            <w:vAlign w:val="center"/>
          </w:tcPr>
          <w:p>
            <w:r>
              <w:rPr>
                <w:rFonts w:ascii="Calibri" w:hAnsi="Calibri"/>
                <w:sz w:val="19"/>
              </w:rPr>
              <w:t>Incorrect path signs or units</w:t>
            </w:r>
          </w:p>
        </w:tc>
        <w:tc>
          <w:tcPr>
            <w:tcW w:type="dxa" w:w="5688"/>
            <w:shd w:fill="F5F8FA"/>
            <w:tcMar>
              <w:top w:w="80" w:type="dxa"/>
              <w:start w:w="120" w:type="dxa"/>
              <w:bottom w:w="80" w:type="dxa"/>
              <w:end w:w="120" w:type="dxa"/>
            </w:tcMar>
            <w:vAlign w:val="center"/>
          </w:tcPr>
          <w:p>
            <w:r>
              <w:rPr>
                <w:rFonts w:ascii="Calibri" w:hAnsi="Calibri"/>
                <w:sz w:val="19"/>
              </w:rPr>
              <w:t>Tests design-basis clarity</w:t>
            </w:r>
          </w:p>
        </w:tc>
      </w:tr>
      <w:tr>
        <w:tc>
          <w:tcPr>
            <w:tcW w:type="dxa" w:w="3672"/>
            <w:tcMar>
              <w:top w:w="80" w:type="dxa"/>
              <w:start w:w="120" w:type="dxa"/>
              <w:bottom w:w="80" w:type="dxa"/>
              <w:end w:w="120" w:type="dxa"/>
            </w:tcMar>
            <w:vAlign w:val="center"/>
          </w:tcPr>
          <w:p>
            <w:r>
              <w:rPr>
                <w:rFonts w:ascii="Calibri" w:hAnsi="Calibri"/>
                <w:sz w:val="19"/>
              </w:rPr>
              <w:t>Questions about feedforward</w:t>
            </w:r>
          </w:p>
        </w:tc>
        <w:tc>
          <w:tcPr>
            <w:tcW w:type="dxa" w:w="5688"/>
            <w:tcMar>
              <w:top w:w="80" w:type="dxa"/>
              <w:start w:w="120" w:type="dxa"/>
              <w:bottom w:w="80" w:type="dxa"/>
              <w:end w:w="120" w:type="dxa"/>
            </w:tcMar>
            <w:vAlign w:val="center"/>
          </w:tcPr>
          <w:p>
            <w:r>
              <w:rPr>
                <w:rFonts w:ascii="Calibri" w:hAnsi="Calibri"/>
                <w:sz w:val="19"/>
              </w:rPr>
              <w:t>Tests conceptual distinction</w:t>
            </w:r>
          </w:p>
        </w:tc>
      </w:tr>
      <w:tr>
        <w:tc>
          <w:tcPr>
            <w:tcW w:type="dxa" w:w="3672"/>
            <w:shd w:fill="F5F8FA"/>
            <w:tcMar>
              <w:top w:w="80" w:type="dxa"/>
              <w:start w:w="120" w:type="dxa"/>
              <w:bottom w:w="80" w:type="dxa"/>
              <w:end w:w="120" w:type="dxa"/>
            </w:tcMar>
            <w:vAlign w:val="center"/>
          </w:tcPr>
          <w:p>
            <w:r>
              <w:rPr>
                <w:rFonts w:ascii="Calibri" w:hAnsi="Calibri"/>
                <w:sz w:val="19"/>
              </w:rPr>
              <w:t>Predicted versus observed valve directions</w:t>
            </w:r>
          </w:p>
        </w:tc>
        <w:tc>
          <w:tcPr>
            <w:tcW w:type="dxa" w:w="5688"/>
            <w:shd w:fill="F5F8FA"/>
            <w:tcMar>
              <w:top w:w="80" w:type="dxa"/>
              <w:start w:w="120" w:type="dxa"/>
              <w:bottom w:w="80" w:type="dxa"/>
              <w:end w:w="120" w:type="dxa"/>
            </w:tcMar>
            <w:vAlign w:val="center"/>
          </w:tcPr>
          <w:p>
            <w:r>
              <w:rPr>
                <w:rFonts w:ascii="Calibri" w:hAnsi="Calibri"/>
                <w:sz w:val="19"/>
              </w:rPr>
              <w:t>Tests interaction understanding</w:t>
            </w:r>
          </w:p>
        </w:tc>
      </w:tr>
      <w:tr>
        <w:tc>
          <w:tcPr>
            <w:tcW w:type="dxa" w:w="3672"/>
            <w:tcMar>
              <w:top w:w="80" w:type="dxa"/>
              <w:start w:w="120" w:type="dxa"/>
              <w:bottom w:w="80" w:type="dxa"/>
              <w:end w:w="120" w:type="dxa"/>
            </w:tcMar>
            <w:vAlign w:val="center"/>
          </w:tcPr>
          <w:p>
            <w:r>
              <w:rPr>
                <w:rFonts w:ascii="Calibri" w:hAnsi="Calibri"/>
                <w:sz w:val="19"/>
              </w:rPr>
              <w:t>Mismatch diagnosis</w:t>
            </w:r>
          </w:p>
        </w:tc>
        <w:tc>
          <w:tcPr>
            <w:tcW w:type="dxa" w:w="5688"/>
            <w:tcMar>
              <w:top w:w="80" w:type="dxa"/>
              <w:start w:w="120" w:type="dxa"/>
              <w:bottom w:w="80" w:type="dxa"/>
              <w:end w:w="120" w:type="dxa"/>
            </w:tcMar>
            <w:vAlign w:val="center"/>
          </w:tcPr>
          <w:p>
            <w:r>
              <w:rPr>
                <w:rFonts w:ascii="Calibri" w:hAnsi="Calibri"/>
                <w:sz w:val="19"/>
              </w:rPr>
              <w:t>Tests evidence-based reasoning</w:t>
            </w:r>
          </w:p>
        </w:tc>
      </w:tr>
      <w:tr>
        <w:tc>
          <w:tcPr>
            <w:tcW w:type="dxa" w:w="3672"/>
            <w:shd w:fill="F5F8FA"/>
            <w:tcMar>
              <w:top w:w="80" w:type="dxa"/>
              <w:start w:w="120" w:type="dxa"/>
              <w:bottom w:w="80" w:type="dxa"/>
              <w:end w:w="120" w:type="dxa"/>
            </w:tcMar>
            <w:vAlign w:val="center"/>
          </w:tcPr>
          <w:p>
            <w:r>
              <w:rPr>
                <w:rFonts w:ascii="Calibri" w:hAnsi="Calibri"/>
                <w:sz w:val="19"/>
              </w:rPr>
              <w:t>Suggested tutorial changes</w:t>
            </w:r>
          </w:p>
        </w:tc>
        <w:tc>
          <w:tcPr>
            <w:tcW w:type="dxa" w:w="5688"/>
            <w:shd w:fill="F5F8FA"/>
            <w:tcMar>
              <w:top w:w="80" w:type="dxa"/>
              <w:start w:w="120" w:type="dxa"/>
              <w:bottom w:w="80" w:type="dxa"/>
              <w:end w:w="120" w:type="dxa"/>
            </w:tcMar>
            <w:vAlign w:val="center"/>
          </w:tcPr>
          <w:p>
            <w:r>
              <w:rPr>
                <w:rFonts w:ascii="Calibri" w:hAnsi="Calibri"/>
                <w:sz w:val="19"/>
              </w:rPr>
              <w:t>Basis for Draft 2</w:t>
            </w:r>
          </w:p>
        </w:tc>
      </w:tr>
    </w:tbl>
    <w:p>
      <w:pPr>
        <w:spacing w:after="0"/>
      </w:pPr>
    </w:p>
    <w:p>
      <w:pPr>
        <w:pStyle w:val="Heading1"/>
      </w:pPr>
      <w:r>
        <w:t>Where to go next</w:t>
      </w:r>
    </w:p>
    <w:p>
      <w:r>
        <w:t>After independent review of Parts 1 and 2, the next tutorial should rebuild this same heat-exchanger problem with modest nonlinear equations. Keeping the physical arrangement and objectives familiar isolates what genuinely changes when the prediction model becomes nonlinear.</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tcMar>
              <w:top w:w="80" w:type="dxa"/>
              <w:start w:w="120" w:type="dxa"/>
              <w:bottom w:w="80" w:type="dxa"/>
              <w:end w:w="120" w:type="dxa"/>
            </w:tcMar>
            <w:vAlign w:val="center"/>
            <w:shd w:fill="E8F1F8"/>
          </w:tcPr>
          <w:p>
            <w:pPr>
              <w:spacing w:after="40"/>
            </w:pPr>
            <w:r>
              <w:rPr>
                <w:rFonts w:ascii="Calibri" w:hAnsi="Calibri"/>
                <w:b/>
                <w:color w:val="2E74B5"/>
                <w:sz w:val="20"/>
              </w:rPr>
              <w:t xml:space="preserve">PROPOSED PART 3  </w:t>
            </w:r>
            <w:r>
              <w:rPr>
                <w:rFonts w:ascii="Calibri" w:hAnsi="Calibri"/>
                <w:color w:val="1A1A1A"/>
                <w:sz w:val="20"/>
              </w:rPr>
              <w:t>Nonlinear model contract, operating domain, nonlinear transition function, symbolic/numeric checks, linear-versus-nonlinear evidence, mismatch and domain-failure exercises.</w:t>
            </w:r>
          </w:p>
        </w:tc>
      </w:tr>
    </w:tbl>
    <w:p>
      <w:pPr>
        <w:spacing w:after="0"/>
      </w:pPr>
    </w:p>
    <w:p>
      <w:pPr>
        <w:pStyle w:val="Heading1"/>
      </w:pPr>
      <w:r>
        <w:t>Appendix A — Supplied exercise files</w:t>
      </w:r>
    </w:p>
    <w:p>
      <w:pPr>
        <w:pStyle w:val="ListBullet"/>
      </w:pPr>
      <w:r>
        <w:t>00_blank_templates: untouched generic Linear Starter v0.6.0 templates.</w:t>
      </w:r>
    </w:p>
    <w:p>
      <w:pPr>
        <w:pStyle w:val="ListBullet"/>
      </w:pPr>
      <w:r>
        <w:t>90_completed_reference: application, no-feedforward application, detuned application, combined scenario, disturbance scenario, mismatch scenario, OPC file and design basis.</w:t>
      </w:r>
    </w:p>
    <w:p>
      <w:pPr>
        <w:pStyle w:val="ListBullet"/>
      </w:pPr>
      <w:r>
        <w:t>verified_results: frozen reference outputs for nominal, feedforward and mismatch comparisons.</w:t>
      </w:r>
    </w:p>
    <w:p>
      <w:pPr>
        <w:pStyle w:val="ListBullet"/>
      </w:pPr>
      <w:r>
        <w:t>engineering_record.md: predictions, validation failures, metrics and conclusions.</w:t>
      </w:r>
    </w:p>
    <w:p>
      <w:pPr>
        <w:pStyle w:val="Heading1"/>
      </w:pPr>
      <w:r>
        <w:t>Appendix B — Minimum command set</w:t>
      </w:r>
    </w:p>
    <w:p>
      <w:pPr>
        <w:pStyle w:val="CodeBlock"/>
        <w:keepLines/>
        <w:shd w:fill="F2F4F6"/>
      </w:pPr>
      <w:r>
        <w:t>validate_application.bat &lt;application&gt; [simulation] [opc]</w:t>
      </w:r>
      <w:r>
        <w:br/>
      </w:r>
      <w:r>
        <w:t>run_simulation.bat &lt;application&gt; &lt;simulation&gt; [--output &lt;folder&gt;]</w:t>
      </w:r>
      <w:r>
        <w:br/>
      </w:r>
      <w:r>
        <w:t>run_digital_twin.bat &lt;application&gt; &lt;simulation&gt; &lt;opc&gt;</w:t>
      </w:r>
      <w:r>
        <w:br/>
      </w:r>
      <w:r>
        <w:t>run_controller.bat &lt;application&gt; &lt;opc&gt;</w:t>
      </w:r>
      <w:r>
        <w:br/>
      </w:r>
      <w:r>
        <w:t>opc_tools.bat &lt;opc&gt; trend &lt;simulation&gt;</w:t>
      </w:r>
      <w:r>
        <w:br/>
      </w:r>
      <w:r>
        <w:t>opc_tools.bat &lt;opc&gt; stop</w:t>
      </w:r>
    </w:p>
    <w:sectPr w:rsidR="00FC693F" w:rsidRPr="0006063C" w:rsidSect="00034616">
      <w:headerReference w:type="default" r:id="rId9"/>
      <w:footerReference w:type="default" r:id="rId10"/>
      <w:pgSz w:w="12240" w:h="15840"/>
      <w:pgMar w:top="1152"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color w:val="5B6570"/>
        <w:sz w:val="18"/>
      </w:rPr>
      <w:t xml:space="preserve">September 2026  |  </w:t>
    </w:r>
    <w:r>
      <w:rPr>
        <w:rFonts w:ascii="Calibri" w:hAnsi="Calibri"/>
        <w:color w:val="5B65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5B6570"/>
        <w:sz w:val="17"/>
      </w:rPr>
      <w:t>OPTAM-MPC Tutorial • Part 2 • Draft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B5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jc w:val="center"/>
    </w:pPr>
    <w:rPr>
      <w:rFonts w:ascii="Calibri" w:hAnsi="Calibri"/>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40" w:line="240" w:lineRule="auto"/>
      <w:ind w:left="259" w:right="173"/>
    </w:pPr>
    <w:rPr>
      <w:rFonts w:ascii="Consolas" w:hAnsi="Consolas"/>
      <w:color w:val="20304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OPTAM-MPC Hands-on Application Tutorial — Part 2</dc:title>
  <dc:subject>2x2 linear heat exchanger, feedforward and robustness</dc:subject>
  <dc:creator>OPTAM</dc:creator>
  <cp:keywords/>
  <dc:description>Draft 1; applies to frozen Linear Starter v0.6.0</dc:description>
  <cp:lastModifiedBy/>
  <cp:revision>1</cp:revision>
  <dcterms:created xsi:type="dcterms:W3CDTF">2013-12-23T23:15:00Z</dcterms:created>
  <dcterms:modified xsi:type="dcterms:W3CDTF">2013-12-23T23:15:00Z</dcterms:modified>
  <cp:category/>
</cp:coreProperties>
</file>