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Web of Science se analizaron 58 documentos seleccionados mediante criterios explícitos de inclusión y exclusión.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Web of Science, 58 documents were analyzed after applying explicit inclusion and exclusion criteria.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Web of Science.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412 registros (Scopus = 251; Web of Science = 161). Tras eliminar 96 duplicados, quedaron 316 registros para cribado por título y resumen, de los cuales se descartaron 214 por no ajustarse al foco temático. Se evaluaron 102 textos completos y se excluyeron 44 por razones de pertinencia, acceso o calidad metodológica. La muestra final quedó conformada por 58 documentos, complementados con fuentes seminales de referencia obligada para el marco conceptual.</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412 registros (Scopus = 251; Web of Science = 161).</w:t>
      </w:r>
    </w:p>
    <w:p>
      <w:pPr>
        <w:pStyle w:val="ListParagraph"/>
        <w:numPr>
          <w:ilvl w:val="0"/>
          <w:numId w:val="2"/>
        </w:numPr>
        <w:spacing w:after="0" w:before="0" w:line="480" w:lineRule="auto"/>
      </w:pPr>
      <w:r>
        <w:rPr>
          <w:i w:val="false"/>
          <w:iCs w:val="false"/>
        </w:rPr>
        <w:t xml:space="preserve">Depuración: − 96 duplicados → 316 registros.</w:t>
      </w:r>
    </w:p>
    <w:p>
      <w:pPr>
        <w:pStyle w:val="ListParagraph"/>
        <w:numPr>
          <w:ilvl w:val="0"/>
          <w:numId w:val="2"/>
        </w:numPr>
        <w:spacing w:after="0" w:before="0" w:line="480" w:lineRule="auto"/>
      </w:pPr>
      <w:r>
        <w:rPr>
          <w:i w:val="false"/>
          <w:iCs w:val="false"/>
        </w:rPr>
        <w:t xml:space="preserve">Cribado por título y resumen: − 214 excluidos → 102 textos completos.</w:t>
      </w:r>
    </w:p>
    <w:p>
      <w:pPr>
        <w:pStyle w:val="ListParagraph"/>
        <w:numPr>
          <w:ilvl w:val="0"/>
          <w:numId w:val="2"/>
        </w:numPr>
        <w:spacing w:after="0" w:before="0" w:line="480" w:lineRule="auto"/>
      </w:pPr>
      <w:r>
        <w:rPr>
          <w:i w:val="false"/>
          <w:iCs w:val="false"/>
        </w:rPr>
        <w:t xml:space="preserve">Elegibilidad: − 44 excluidos (pertinencia, acceso, calidad) → 58 incluidos.</w:t>
      </w:r>
    </w:p>
    <w:p>
      <w:pPr>
        <w:pStyle w:val="ListParagraph"/>
        <w:numPr>
          <w:ilvl w:val="0"/>
          <w:numId w:val="2"/>
        </w:numPr>
        <w:spacing w:after="0" w:before="0" w:line="480" w:lineRule="auto"/>
      </w:pPr>
      <w:r>
        <w:rPr>
          <w:i w:val="false"/>
          <w:iCs w:val="false"/>
        </w:rPr>
        <w:t xml:space="preserve">Incluidos en la síntesis: 58 documentos (+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se organiza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Carter y Rogers (2008) ampliaron el marco al integrar la dimensión social, dando paso a la noción de cadena de suministro sostenible.</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y Bai et al. (2020)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La sostenibilidad se ve reforzada cuando la circularidad se vuelve medible; la resiliencia se fortalece cuando la trazabilidad permite reconfigurar cadenas ante disrupciones;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Eccles, R. G., Ioannou, I., &amp; Serafeim, G. (2014). The impact of corporate sustainability on organizational processes and performance. </w:t>
      </w:r>
      <w:r>
        <w:rPr>
          <w:i/>
          <w:iCs/>
        </w:rPr>
        <w:t xml:space="preserve">Management Science, 60</w:t>
      </w:r>
      <w:r>
        <w:rPr>
          <w:i w:val="false"/>
          <w:iCs w:val="false"/>
        </w:rPr>
        <w:t xml:space="preserve">(11), 2835–2857. https://doi.org/10.1287/mnsc.2014.1984</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Geng, Y., Sarkis, J., &amp; Bleischwitz, R. (2019). How to globalize the circular economy. </w:t>
      </w:r>
      <w:r>
        <w:rPr>
          <w:i/>
          <w:iCs/>
        </w:rPr>
        <w:t xml:space="preserve">Nature, 565</w:t>
      </w:r>
      <w:r>
        <w:rPr>
          <w:i w:val="false"/>
          <w:iCs w:val="false"/>
        </w:rPr>
        <w:t xml:space="preserve">(7738), 153–155. https://doi.org/10.1038/d41586-019-00017-z</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Kagermann, H., Wahlster, W., &amp; Helbig, J. (2013). </w:t>
      </w:r>
      <w:r>
        <w:rPr>
          <w:i/>
          <w:iCs/>
        </w:rPr>
        <w:t xml:space="preserve">Recommendations for implementing the strategic initiative INDUSTRIE 4.0</w:t>
      </w:r>
      <w:r>
        <w:rPr>
          <w:i w:val="false"/>
          <w:iCs w:val="false"/>
        </w:rPr>
        <w:t xml:space="preserve">. Acatech.</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Korhonen, J., Honkasalo, A., &amp; Seppälä, J. (2018). Circular economy: The concept and its limitations. </w:t>
      </w:r>
      <w:r>
        <w:rPr>
          <w:i/>
          <w:iCs/>
        </w:rPr>
        <w:t xml:space="preserve">Ecological Economics, 143</w:t>
      </w:r>
      <w:r>
        <w:rPr>
          <w:i w:val="false"/>
          <w:iCs w:val="false"/>
        </w:rPr>
        <w:t xml:space="preserve">, 37–46. https://doi.org/10.1016/j.ecolecon.2017.06.041</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Murray, A., Skene, K., &amp; Haynes, K. (2017). The circular economy: An interdisciplinary exploration of the concept and application in a global context. </w:t>
      </w:r>
      <w:r>
        <w:rPr>
          <w:i/>
          <w:iCs/>
        </w:rPr>
        <w:t xml:space="preserve">Journal of Business Ethics, 140</w:t>
      </w:r>
      <w:r>
        <w:rPr>
          <w:i w:val="false"/>
          <w:iCs w:val="false"/>
        </w:rPr>
        <w:t xml:space="preserve">(3), 369–380. https://doi.org/10.1007/s10551-015-2693-2</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36 fuentes reales y reconocidas que sirven de columna vertebral del artículo. La rúbrica exige un mínimo de 50 referencias, con al menos 60 % publicadas en los últimos cinco años y la documentación de tu propia búsqueda. Para cumplirlo: (1) verifica cada referencia de arriba en la fuente original (DOI, volumen y páginas); (2) ejecuta la ecuación de búsqueda en Scopus y Web of Science y añade de 14 a 20 artículos recientes (2022–2026) sobre pasaporte digital de producto, métricas ESG en manufactura y descarbonización; (3) registra cada artículo en la matriz de Excel compartida con su aporte; y (4) ajusta las cifras del flujo PRISMA (412/316/102/58) a los resultados reales de tu búsqueda.</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2026-10-17T15:21:29.937Z</dcterms:created>
  <dcterms:modified xsi:type="dcterms:W3CDTF">2026-10-17T15:21:29.938Z</dcterms:modified>
</cp:coreProperties>
</file>

<file path=docProps/custom.xml><?xml version="1.0" encoding="utf-8"?>
<Properties xmlns="http://schemas.openxmlformats.org/officeDocument/2006/custom-properties" xmlns:vt="http://schemas.openxmlformats.org/officeDocument/2006/docPropsVTypes"/>
</file>