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4096E5" w14:textId="77777777" w:rsidR="00EF1C33" w:rsidRDefault="00EF1C33"/>
    <w:p w14:paraId="78E9C2F4" w14:textId="77777777" w:rsidR="00EF1C33" w:rsidRDefault="00000000">
      <w:pPr>
        <w:jc w:val="center"/>
      </w:pPr>
      <w:r>
        <w:rPr>
          <w:b/>
          <w:bCs/>
        </w:rPr>
        <w:t>Economía circular, cadenas de suministro verdes y métricas ESG en la manufactura moderna: el papel del pasaporte digital de producto en la transición hacia la Industria 5.0</w:t>
      </w:r>
    </w:p>
    <w:p w14:paraId="3AE8FCE8" w14:textId="77777777" w:rsidR="00EF1C33" w:rsidRDefault="00EF1C33"/>
    <w:p w14:paraId="3D731682" w14:textId="77777777" w:rsidR="009264DF" w:rsidRDefault="009264DF" w:rsidP="009264DF">
      <w:pPr>
        <w:jc w:val="center"/>
      </w:pPr>
    </w:p>
    <w:p w14:paraId="61689778" w14:textId="77777777" w:rsidR="009264DF" w:rsidRDefault="009264DF" w:rsidP="009264DF">
      <w:pPr>
        <w:jc w:val="center"/>
      </w:pPr>
    </w:p>
    <w:p w14:paraId="67291CBC" w14:textId="77777777" w:rsidR="009264DF" w:rsidRDefault="009264DF" w:rsidP="009264DF">
      <w:pPr>
        <w:jc w:val="center"/>
      </w:pPr>
    </w:p>
    <w:p w14:paraId="173B2A46" w14:textId="45289868" w:rsidR="00EF1C33" w:rsidRDefault="00000000" w:rsidP="009264DF">
      <w:pPr>
        <w:jc w:val="center"/>
      </w:pPr>
      <w:r>
        <w:t>Nombre</w:t>
      </w:r>
      <w:r w:rsidR="009264DF">
        <w:t>s</w:t>
      </w:r>
      <w:r>
        <w:t xml:space="preserve"> de</w:t>
      </w:r>
      <w:r w:rsidR="009264DF">
        <w:t xml:space="preserve"> </w:t>
      </w:r>
      <w:r>
        <w:t>los autor</w:t>
      </w:r>
      <w:r w:rsidR="009264DF">
        <w:t>es</w:t>
      </w:r>
    </w:p>
    <w:p w14:paraId="6A9DFFF6" w14:textId="77777777" w:rsidR="009264DF" w:rsidRDefault="009264DF" w:rsidP="009264DF">
      <w:pPr>
        <w:jc w:val="center"/>
      </w:pPr>
    </w:p>
    <w:p w14:paraId="7D27EC2F" w14:textId="77777777" w:rsidR="009264DF" w:rsidRDefault="009264DF" w:rsidP="009264DF">
      <w:pPr>
        <w:jc w:val="center"/>
      </w:pPr>
    </w:p>
    <w:p w14:paraId="5059B1A6" w14:textId="77777777" w:rsidR="009264DF" w:rsidRDefault="009264DF" w:rsidP="009264DF">
      <w:pPr>
        <w:jc w:val="center"/>
      </w:pPr>
    </w:p>
    <w:p w14:paraId="6F593E27" w14:textId="77777777" w:rsidR="009264DF" w:rsidRDefault="009264DF" w:rsidP="009264DF">
      <w:pPr>
        <w:jc w:val="center"/>
      </w:pPr>
    </w:p>
    <w:p w14:paraId="46B939FF" w14:textId="5CC7B0E0" w:rsidR="009264DF" w:rsidRDefault="009264DF" w:rsidP="009264DF">
      <w:pPr>
        <w:jc w:val="center"/>
      </w:pPr>
      <w:r>
        <w:t>Nombre del docente</w:t>
      </w:r>
    </w:p>
    <w:p w14:paraId="4D3A6716" w14:textId="77777777" w:rsidR="009264DF" w:rsidRDefault="009264DF" w:rsidP="009264DF">
      <w:pPr>
        <w:jc w:val="center"/>
      </w:pPr>
    </w:p>
    <w:p w14:paraId="6F03B1D5" w14:textId="77777777" w:rsidR="009264DF" w:rsidRDefault="009264DF" w:rsidP="009264DF">
      <w:pPr>
        <w:jc w:val="center"/>
      </w:pPr>
    </w:p>
    <w:p w14:paraId="17B2E043" w14:textId="77777777" w:rsidR="009264DF" w:rsidRDefault="009264DF" w:rsidP="009264DF">
      <w:pPr>
        <w:jc w:val="center"/>
      </w:pPr>
    </w:p>
    <w:p w14:paraId="1D7CAA88" w14:textId="77777777" w:rsidR="009264DF" w:rsidRDefault="009264DF" w:rsidP="009264DF">
      <w:pPr>
        <w:jc w:val="center"/>
      </w:pPr>
    </w:p>
    <w:p w14:paraId="1A51647A" w14:textId="77777777" w:rsidR="009264DF" w:rsidRDefault="00000000">
      <w:pPr>
        <w:jc w:val="center"/>
      </w:pPr>
      <w:r>
        <w:t>Facultad / Programa</w:t>
      </w:r>
    </w:p>
    <w:p w14:paraId="53D178AD" w14:textId="0EE24A84" w:rsidR="00EF1C33" w:rsidRDefault="00000000">
      <w:pPr>
        <w:jc w:val="center"/>
      </w:pPr>
      <w:r>
        <w:t>Nombre de la Universidad</w:t>
      </w:r>
    </w:p>
    <w:p w14:paraId="260F55FF" w14:textId="671B1BED" w:rsidR="00EF1C33" w:rsidRDefault="00000000">
      <w:pPr>
        <w:jc w:val="center"/>
      </w:pPr>
      <w:r>
        <w:t>Código y nombre del curso</w:t>
      </w:r>
    </w:p>
    <w:p w14:paraId="2E35D9BF" w14:textId="213CB745" w:rsidR="00EF1C33" w:rsidRDefault="009264DF">
      <w:pPr>
        <w:jc w:val="center"/>
      </w:pPr>
      <w:r>
        <w:t>Octubre, 2026</w:t>
      </w:r>
    </w:p>
    <w:p w14:paraId="62EF3D84" w14:textId="77777777" w:rsidR="00EF1C33" w:rsidRDefault="00000000">
      <w:r>
        <w:br/>
      </w:r>
    </w:p>
    <w:p w14:paraId="0F17D596" w14:textId="77777777" w:rsidR="00EF1C33" w:rsidRDefault="00000000">
      <w:pPr>
        <w:pageBreakBefore/>
        <w:jc w:val="center"/>
      </w:pPr>
      <w:r>
        <w:rPr>
          <w:b/>
          <w:bCs/>
        </w:rPr>
        <w:lastRenderedPageBreak/>
        <w:t>Resumen</w:t>
      </w:r>
    </w:p>
    <w:p w14:paraId="35721E11" w14:textId="04938E7C" w:rsidR="00EA5C3F" w:rsidRDefault="00000000" w:rsidP="00EA5C3F">
      <w:pPr>
        <w:jc w:val="both"/>
      </w:pPr>
      <w:r>
        <w:t xml:space="preserve">La manufactura moderna atraviesa una transición en la que la sostenibilidad dejó de ser un asunto reputacional para convertirse en un criterio de diseño operativo y financiero. Este artículo revisa, bajo un protocolo PRISMA simplificado, la literatura publicada entre 2022 y 2026 sobre la convergencia entre economía circular, gestión verde de la cadena de suministro, trazabilidad mediante el pasaporte digital de producto y medición del desempeño ambiental, social y de gobernanza (ESG) en entornos industriales. </w:t>
      </w:r>
      <w:r w:rsidR="00EA5C3F">
        <w:t xml:space="preserve">Mediante la consulta de </w:t>
      </w:r>
      <w:proofErr w:type="spellStart"/>
      <w:r w:rsidR="00EA5C3F">
        <w:t>Scopus</w:t>
      </w:r>
      <w:proofErr w:type="spellEnd"/>
      <w:r w:rsidR="00EA5C3F">
        <w:t xml:space="preserve"> y SciELO se extrajeron 43 registros y tras la aplicación de los fehacientes criterios de inclusión y exclusión, incluidos tres textos denominados seminales de marco conceptual, se incorporaron un total de 28 estudios. Los resultados se estructuran en 5 ejes temáticos, no por autor, para así permitir en vez de relacionar, la posibilidad de la comparación. </w:t>
      </w:r>
      <w:r w:rsidR="0072753C" w:rsidRPr="0072753C">
        <w:t>El estudio</w:t>
      </w:r>
      <w:r w:rsidR="0072753C">
        <w:t xml:space="preserve"> </w:t>
      </w:r>
      <w:r w:rsidR="0072753C" w:rsidRPr="0072753C">
        <w:t>desfavorablemente</w:t>
      </w:r>
      <w:r w:rsidR="0072753C">
        <w:t xml:space="preserve"> </w:t>
      </w:r>
      <w:r w:rsidR="0072753C" w:rsidRPr="0072753C">
        <w:t>revela que la digitalización, particularmente del pasaporte digital de producto y la contabilidad de carbono habilitada por datos, actúa como una parte esencial</w:t>
      </w:r>
      <w:r w:rsidR="0072753C">
        <w:t xml:space="preserve"> </w:t>
      </w:r>
      <w:r w:rsidR="0072753C" w:rsidRPr="0072753C">
        <w:t>que vincula los principios circulares con los marcos ESG. A pesar de eso,</w:t>
      </w:r>
      <w:r w:rsidR="0072753C">
        <w:t xml:space="preserve"> </w:t>
      </w:r>
      <w:r w:rsidR="0072753C" w:rsidRPr="0072753C">
        <w:t>también exponen el abismo que todavía existe entre la estrategia empresarial</w:t>
      </w:r>
      <w:r w:rsidR="0072753C">
        <w:t xml:space="preserve"> </w:t>
      </w:r>
      <w:r w:rsidR="0072753C" w:rsidRPr="0072753C">
        <w:t>y su conversión en acciones cuantificables a nivel de planta. Se observan lagunas importantes en la interoperabilidad de datos, en la verificación independiente de los indicadores y en</w:t>
      </w:r>
      <w:r w:rsidR="0072753C">
        <w:t xml:space="preserve"> </w:t>
      </w:r>
      <w:r w:rsidR="0072753C" w:rsidRPr="0072753C">
        <w:t>la estandarización de las métricas</w:t>
      </w:r>
      <w:r w:rsidR="00EA5C3F">
        <w:t xml:space="preserve">. El trabajo concluye que la sostenibilidad en lo manufacturero solo pasa a ser gobernada cuando es traducida a indicadores trazables KPI, OEE, ROI y huella de carbono que se unen a los tres componentes que caracterizan a la Industria 5.0; humana centralidad, resiliencia y sostenibilidad. </w:t>
      </w:r>
    </w:p>
    <w:p w14:paraId="577FDC8D" w14:textId="77777777" w:rsidR="00EA5C3F" w:rsidRDefault="00EA5C3F" w:rsidP="00EA5C3F">
      <w:pPr>
        <w:jc w:val="both"/>
        <w:rPr>
          <w:i/>
          <w:iCs/>
        </w:rPr>
      </w:pPr>
    </w:p>
    <w:p w14:paraId="0C4B3585" w14:textId="63EEB418" w:rsidR="00EF1C33" w:rsidRDefault="00EA5C3F" w:rsidP="00EA5C3F">
      <w:pPr>
        <w:jc w:val="both"/>
      </w:pPr>
      <w:r w:rsidRPr="00EA5C3F">
        <w:rPr>
          <w:i/>
          <w:iCs/>
        </w:rPr>
        <w:t>Palabras clave:</w:t>
      </w:r>
      <w:r>
        <w:t xml:space="preserve"> economía circular, cadena de suministro verde, pasaporte digital de producto, huella de carbono, métricas ESG, Industria 5.0.</w:t>
      </w:r>
    </w:p>
    <w:p w14:paraId="3C50E6C4" w14:textId="77777777" w:rsidR="00EF1C33" w:rsidRPr="000E2ACD" w:rsidRDefault="00000000">
      <w:pPr>
        <w:pageBreakBefore/>
        <w:jc w:val="center"/>
        <w:rPr>
          <w:lang w:val="en-US"/>
        </w:rPr>
      </w:pPr>
      <w:r w:rsidRPr="000E2ACD">
        <w:rPr>
          <w:b/>
          <w:bCs/>
          <w:lang w:val="en-US"/>
        </w:rPr>
        <w:lastRenderedPageBreak/>
        <w:t>Abstract</w:t>
      </w:r>
    </w:p>
    <w:p w14:paraId="2D5C85C7" w14:textId="77777777" w:rsidR="00EA5C3F" w:rsidRDefault="00000000" w:rsidP="00EA5C3F">
      <w:pPr>
        <w:jc w:val="both"/>
        <w:rPr>
          <w:lang w:val="en-US"/>
        </w:rPr>
      </w:pPr>
      <w:r w:rsidRPr="000E2ACD">
        <w:rPr>
          <w:lang w:val="en-US"/>
        </w:rPr>
        <w:t xml:space="preserve">Modern manufacturing is undergoing a deep transition in which sustainability has shifted from a reputational concern to an operational and financial design criterion. This article reviews, through a simplified PRISMA protocol, the literature published between 2022 and 2026 on the convergence of circular economy, green supply chain management, traceability through the digital product passport, and the measurement of environmental, social, and governance (ESG) performance in industrial settings. Drawing on Scopus and </w:t>
      </w:r>
      <w:proofErr w:type="spellStart"/>
      <w:r w:rsidRPr="000E2ACD">
        <w:rPr>
          <w:lang w:val="en-US"/>
        </w:rPr>
        <w:t>SciELO</w:t>
      </w:r>
      <w:proofErr w:type="spellEnd"/>
      <w:r w:rsidRPr="000E2ACD">
        <w:rPr>
          <w:lang w:val="en-US"/>
        </w:rPr>
        <w:t xml:space="preserve">, 43 records were identified and 28 studies were included after applying explicit inclusion and exclusion criteria, complemented by seminal conceptual references. </w:t>
      </w:r>
      <w:r w:rsidR="00EA5C3F" w:rsidRPr="00EA5C3F">
        <w:rPr>
          <w:lang w:val="en-US"/>
        </w:rPr>
        <w:t>The findings have been divided into five axes instead of being organized based on authors because they are meant to be compared instead of enumerated. It emerges from the literature that the digitalization of production, including the digital product passport and carbon accounting through data, serves as a connecting factor between the circular economy principles and ESG metrics. However, it also highlights a constant discrepancy between the discourse of strategy and practice at a plant level. There exist gaps in the metric standardization, interoperability of data, and independent verification of indicators. Therefore, this research concludes that sustainability in manufacturing can become governable only once it has been turned into traceable indicators KPIs, OEE, ROI, and carbon footprint.</w:t>
      </w:r>
    </w:p>
    <w:p w14:paraId="75E173AB" w14:textId="77777777" w:rsidR="00EA5C3F" w:rsidRDefault="00EA5C3F" w:rsidP="00EA5C3F">
      <w:pPr>
        <w:jc w:val="both"/>
        <w:rPr>
          <w:lang w:val="en-US"/>
        </w:rPr>
      </w:pPr>
    </w:p>
    <w:p w14:paraId="69CF6977" w14:textId="5184FCC2" w:rsidR="00EF1C33" w:rsidRPr="000E2ACD" w:rsidRDefault="00000000" w:rsidP="00EA5C3F">
      <w:pPr>
        <w:jc w:val="both"/>
        <w:rPr>
          <w:lang w:val="en-US"/>
        </w:rPr>
      </w:pPr>
      <w:r w:rsidRPr="000E2ACD">
        <w:rPr>
          <w:i/>
          <w:iCs/>
          <w:lang w:val="en-US"/>
        </w:rPr>
        <w:t xml:space="preserve">Keywords: </w:t>
      </w:r>
      <w:r w:rsidRPr="000E2ACD">
        <w:rPr>
          <w:lang w:val="en-US"/>
        </w:rPr>
        <w:t>circular economy, green supply chain, digital product passport, carbon footprint, ESG metrics, Industry 5.0</w:t>
      </w:r>
    </w:p>
    <w:p w14:paraId="550DDC50" w14:textId="77777777" w:rsidR="00EF1C33" w:rsidRDefault="00000000">
      <w:pPr>
        <w:pageBreakBefore/>
        <w:jc w:val="center"/>
      </w:pPr>
      <w:r>
        <w:rPr>
          <w:b/>
          <w:bCs/>
        </w:rPr>
        <w:lastRenderedPageBreak/>
        <w:t>Economía circular, cadenas de suministro verdes y métricas ESG en la manufactura moderna: el papel del pasaporte digital de producto en la transición hacia la Industria 5.0</w:t>
      </w:r>
    </w:p>
    <w:p w14:paraId="52BD376D" w14:textId="77777777" w:rsidR="009264DF" w:rsidRDefault="009264DF">
      <w:pPr>
        <w:ind w:firstLine="720"/>
        <w:jc w:val="both"/>
      </w:pPr>
    </w:p>
    <w:p w14:paraId="7615E3CE" w14:textId="77777777" w:rsidR="00EA5C3F" w:rsidRDefault="00000000">
      <w:pPr>
        <w:ind w:firstLine="720"/>
        <w:jc w:val="both"/>
      </w:pPr>
      <w:r>
        <w:t>Durante la última década, la manufactura ha sido empujada hacia un replanteamiento profundo de su relación con el ambiente. Lo que antes se resolvía con programas puntuales de reducción de residuos o con informes de responsabilidad social corporativa hoy forma parte del núcleo de las decisiones sobre diseño de producto, selección de proveedores y arquitectura de datos (</w:t>
      </w:r>
      <w:proofErr w:type="spellStart"/>
      <w:r>
        <w:t>Geissdoerfer</w:t>
      </w:r>
      <w:proofErr w:type="spellEnd"/>
      <w:r>
        <w:t xml:space="preserve"> et al., 2017; </w:t>
      </w:r>
      <w:proofErr w:type="spellStart"/>
      <w:r>
        <w:t>Ghobakhloo</w:t>
      </w:r>
      <w:proofErr w:type="spellEnd"/>
      <w:r>
        <w:t xml:space="preserve">, 2020). Tres fuerzas convergen en este giro. La primera es regulatoria: la Unión Europea ha avanzado hacia un marco de productos sostenibles que, entre otras exigencias, introduce el pasaporte digital de producto como requisito de información. </w:t>
      </w:r>
      <w:r w:rsidR="00EA5C3F" w:rsidRPr="00EA5C3F">
        <w:t>La segunda es la financiera, ya que un volumen creciente de capital se asigna con criterios ambientales, sociales y de gobernanza (Friede et al., 2015; Gillan et al., 2021). La tercera modalidad de esta activación es la tecnológica; el descenso de costes de los sensores, la trazabilidad y la analítica permiten por primera vez, y con cierta granularidad, medir qué ocurre dentro de la planta y en la cadena de valor.</w:t>
      </w:r>
      <w:r w:rsidR="00EA5C3F">
        <w:t xml:space="preserve"> </w:t>
      </w:r>
    </w:p>
    <w:p w14:paraId="7C3A000F" w14:textId="582129D9" w:rsidR="00EA5C3F" w:rsidRDefault="00EA5C3F">
      <w:pPr>
        <w:ind w:firstLine="720"/>
        <w:jc w:val="both"/>
      </w:pPr>
      <w:r w:rsidRPr="00EA5C3F">
        <w:t xml:space="preserve">La teoría de la economía circular es la teoría necesaria para comprender muchos aspectos de este cambio. En contraste con el enfoque lineal basado en la </w:t>
      </w:r>
      <w:proofErr w:type="spellStart"/>
      <w:proofErr w:type="gramStart"/>
      <w:r w:rsidRPr="00EA5C3F">
        <w:t>extracción,la</w:t>
      </w:r>
      <w:proofErr w:type="spellEnd"/>
      <w:proofErr w:type="gramEnd"/>
      <w:r w:rsidRPr="00EA5C3F">
        <w:t xml:space="preserve"> producción y la eliminación de los desechos la economía circular busca minimizar el flujo de materiales a través </w:t>
      </w:r>
      <w:proofErr w:type="gramStart"/>
      <w:r w:rsidRPr="00EA5C3F">
        <w:t>del reutilización</w:t>
      </w:r>
      <w:proofErr w:type="gramEnd"/>
      <w:r w:rsidRPr="00EA5C3F">
        <w:t xml:space="preserve">, la remanufactura y el reciclaje (Stahel, 2016; </w:t>
      </w:r>
      <w:proofErr w:type="spellStart"/>
      <w:r w:rsidRPr="00EA5C3F">
        <w:t>Bocken</w:t>
      </w:r>
      <w:proofErr w:type="spellEnd"/>
      <w:r w:rsidRPr="00EA5C3F">
        <w:t xml:space="preserve"> et al., 2016). El aspecto logístico se expresa por el concepto de la gestión de la cadena de suministro verde, la cual ha pasado de un enfoque centrado solamente en la eficiencia y el impacto ambiental a un enfoque más amplio que incluye los criterios de la sostenibilidad social y la resiliencia (</w:t>
      </w:r>
      <w:proofErr w:type="spellStart"/>
      <w:r w:rsidRPr="00EA5C3F">
        <w:t>Seuring</w:t>
      </w:r>
      <w:proofErr w:type="spellEnd"/>
      <w:r w:rsidRPr="00EA5C3F">
        <w:t xml:space="preserve"> &amp; Müller, 2008; Tseng et al., 2019). Sin embargo</w:t>
      </w:r>
      <w:r>
        <w:t>,</w:t>
      </w:r>
      <w:r w:rsidRPr="00EA5C3F">
        <w:t xml:space="preserve"> tanto la economía circular como las cadenas de suministro </w:t>
      </w:r>
      <w:r w:rsidRPr="00EA5C3F">
        <w:lastRenderedPageBreak/>
        <w:t>verdes enfrentan un desafío práctico común: la falta de datos precisos sobre los orígenes y las composiciones de los productos.</w:t>
      </w:r>
    </w:p>
    <w:p w14:paraId="061D527C" w14:textId="2DF2197E" w:rsidR="00EA5C3F" w:rsidRDefault="00EA5C3F">
      <w:pPr>
        <w:ind w:firstLine="720"/>
        <w:jc w:val="both"/>
      </w:pPr>
      <w:r w:rsidRPr="00EA5C3F">
        <w:t>Es ahí donde la capa digital se vuelve un factor importante. El Pasaporte Digital del Producto se convierte en el medio para garantizar la trazabilidad de los atributos ambientales:</w:t>
      </w:r>
      <w:r>
        <w:t xml:space="preserve"> </w:t>
      </w:r>
      <w:r w:rsidRPr="00EA5C3F">
        <w:t>la materialidad, la reparabilidad, el contenido de materiales reciclados y la huella de carbono a lo largo del ciclo de vida (Adisorn et al.,2021). La contabilidad de carbono basada en datos se convierte en el medio para la transición de las afirmaciones generales a medidas específicas relacionadas con el producto y el proceso incluyendo las emisiones de carbono del Escenario 3 que representan la mayor parte de las emisiones de la fabricación (</w:t>
      </w:r>
      <w:proofErr w:type="spellStart"/>
      <w:r w:rsidRPr="00EA5C3F">
        <w:t>Hertwich</w:t>
      </w:r>
      <w:proofErr w:type="spellEnd"/>
      <w:r w:rsidRPr="00EA5C3F">
        <w:t xml:space="preserve"> &amp; Wood,2018). Los marcos de informes ESG se convierten en el medio para comunicar ese desempeño. Pero el problema es que esos cuatro aspectos rara vez se consideran colectivamente.</w:t>
      </w:r>
    </w:p>
    <w:p w14:paraId="656F1830" w14:textId="616DE8DF" w:rsidR="00EA5C3F" w:rsidRDefault="00EA5C3F">
      <w:pPr>
        <w:ind w:firstLine="720"/>
        <w:jc w:val="both"/>
      </w:pPr>
      <w:r w:rsidRPr="00EA5C3F">
        <w:t>Es precisamente aquí donde reside el vacío que esta tesis pretende llenar. En efecto mientras que la literatura sobre la economía circular, por un lado,</w:t>
      </w:r>
      <w:r>
        <w:t xml:space="preserve"> </w:t>
      </w:r>
      <w:r w:rsidRPr="00EA5C3F">
        <w:t>y sobre el ESG, por otro lado, ha avanzado rápidamente,</w:t>
      </w:r>
      <w:r>
        <w:t xml:space="preserve"> </w:t>
      </w:r>
      <w:r w:rsidRPr="00EA5C3F">
        <w:t>lo ha hecho más bien en paralelo que en interacción:</w:t>
      </w:r>
      <w:r>
        <w:t xml:space="preserve"> </w:t>
      </w:r>
      <w:r w:rsidRPr="00EA5C3F">
        <w:t>la literatura técnica sobre la economía circular es generalmente independiente de la literatura financiera sobre el ESG y los pasaportes digitales de productos aún no se están considerando en el contexto de la gestión de la cadena de suministro. Además</w:t>
      </w:r>
      <w:r>
        <w:t>,</w:t>
      </w:r>
      <w:r w:rsidRPr="00EA5C3F">
        <w:t xml:space="preserve"> existe también una discrepancia entre las afirmaciones declaradas de las empresas y lo que estas empresas miden y verifican (Berg et al.,2022).</w:t>
      </w:r>
      <w:r>
        <w:t xml:space="preserve"> </w:t>
      </w:r>
      <w:r w:rsidRPr="00EA5C3F">
        <w:t xml:space="preserve">En </w:t>
      </w:r>
      <w:proofErr w:type="gramStart"/>
      <w:r w:rsidRPr="00EA5C3F">
        <w:t>resumen</w:t>
      </w:r>
      <w:proofErr w:type="gramEnd"/>
      <w:r w:rsidRPr="00EA5C3F">
        <w:t xml:space="preserve"> no existe ninguna teoría que acerque la digitalización como el medio a través del cual estos dominios puedan ser vinculados.</w:t>
      </w:r>
    </w:p>
    <w:p w14:paraId="67A6C93B" w14:textId="77777777" w:rsidR="00021D48" w:rsidRDefault="00021D48" w:rsidP="00021D48">
      <w:pPr>
        <w:ind w:firstLine="720"/>
        <w:jc w:val="both"/>
        <w:rPr>
          <w:b/>
          <w:bCs/>
        </w:rPr>
      </w:pPr>
      <w:r w:rsidRPr="00021D48">
        <w:t xml:space="preserve">El objetivo de este artículo es revisar críticamente y de forma trazable la producción científica reciente (2022–2026) sobre la convergencia entre economía circular, cadenas de suministro verdes, pasaporte digital de producto y métricas ESG en la manufactura moderna. </w:t>
      </w:r>
      <w:r w:rsidRPr="00021D48">
        <w:lastRenderedPageBreak/>
        <w:t>Queremos identificar tendencias, tensiones y vacíos de investigación. El documento se organiza como sigue. Primero se presenta la metodología de revisión, con su ecuación de búsqueda y criterios de selección. Después se muestra el desarrollo temático en cinco ejes. Luego la discusión compara el marco conceptual base con el estado actual y lo enlaza con los pilares de la Industria 5.0. Después se analizan dos casos reales con indicadores cuantificables. Finalmente, se presentan conclusiones, limitaciones y líneas de trabajo futuro.</w:t>
      </w:r>
    </w:p>
    <w:p w14:paraId="1EBFEEFF" w14:textId="25988804" w:rsidR="00EF1C33" w:rsidRDefault="00000000">
      <w:pPr>
        <w:pStyle w:val="Ttulo1"/>
      </w:pPr>
      <w:r>
        <w:t>Metodología</w:t>
      </w:r>
    </w:p>
    <w:p w14:paraId="31E75A07" w14:textId="77777777" w:rsidR="00021D48" w:rsidRDefault="00021D48">
      <w:pPr>
        <w:ind w:firstLine="720"/>
        <w:jc w:val="both"/>
      </w:pPr>
      <w:r w:rsidRPr="00021D48">
        <w:t xml:space="preserve">La revisión usó una versión simplificada del protocolo PRISMA 2020 (Page et al., 2021). Esta versión se enfocó en garantizar que el proceso fuera claro y repetible. Se usaron dos bases de datos reconocidas por su alcance en ingeniería y gestión: </w:t>
      </w:r>
      <w:proofErr w:type="spellStart"/>
      <w:r w:rsidRPr="00021D48">
        <w:t>Scopus</w:t>
      </w:r>
      <w:proofErr w:type="spellEnd"/>
      <w:r w:rsidRPr="00021D48">
        <w:t xml:space="preserve"> y SciELO. La búsqueda se realizó en títulos, resúmenes y palabras clave. El período de búsqueda fue de 2022 a 2026 para asegurar que los resultados fueran actuales. Solo se incluyeron obras importantes que se usaron como base teórica.</w:t>
      </w:r>
    </w:p>
    <w:p w14:paraId="76D91181" w14:textId="6DDA85E7" w:rsidR="00EF1C33" w:rsidRDefault="00000000">
      <w:pPr>
        <w:ind w:firstLine="720"/>
        <w:jc w:val="both"/>
      </w:pPr>
      <w:r>
        <w:t xml:space="preserve">La ecuación de búsqueda combinó términos de los cuatro dominios mediante operadores booleanos: ("circular </w:t>
      </w:r>
      <w:proofErr w:type="spellStart"/>
      <w:r>
        <w:t>economy</w:t>
      </w:r>
      <w:proofErr w:type="spellEnd"/>
      <w:r>
        <w:t xml:space="preserve">" OR "circular </w:t>
      </w:r>
      <w:proofErr w:type="spellStart"/>
      <w:r>
        <w:t>manufacturing</w:t>
      </w:r>
      <w:proofErr w:type="spellEnd"/>
      <w:r>
        <w:t xml:space="preserve">") AND ("green </w:t>
      </w:r>
      <w:proofErr w:type="spellStart"/>
      <w:r>
        <w:t>supply</w:t>
      </w:r>
      <w:proofErr w:type="spellEnd"/>
      <w:r>
        <w:t xml:space="preserve"> </w:t>
      </w:r>
      <w:proofErr w:type="spellStart"/>
      <w:r>
        <w:t>chain</w:t>
      </w:r>
      <w:proofErr w:type="spellEnd"/>
      <w:r>
        <w:t>" OR "</w:t>
      </w:r>
      <w:proofErr w:type="spellStart"/>
      <w:r>
        <w:t>sustainable</w:t>
      </w:r>
      <w:proofErr w:type="spellEnd"/>
      <w:r>
        <w:t xml:space="preserve"> </w:t>
      </w:r>
      <w:proofErr w:type="spellStart"/>
      <w:r>
        <w:t>supply</w:t>
      </w:r>
      <w:proofErr w:type="spellEnd"/>
      <w:r>
        <w:t xml:space="preserve"> </w:t>
      </w:r>
      <w:proofErr w:type="spellStart"/>
      <w:r>
        <w:t>chain</w:t>
      </w:r>
      <w:proofErr w:type="spellEnd"/>
      <w:r>
        <w:t xml:space="preserve">") AND ("digital </w:t>
      </w:r>
      <w:proofErr w:type="spellStart"/>
      <w:r>
        <w:t>product</w:t>
      </w:r>
      <w:proofErr w:type="spellEnd"/>
      <w:r>
        <w:t xml:space="preserve"> </w:t>
      </w:r>
      <w:proofErr w:type="spellStart"/>
      <w:r>
        <w:t>passport</w:t>
      </w:r>
      <w:proofErr w:type="spellEnd"/>
      <w:r>
        <w:t>" OR "</w:t>
      </w:r>
      <w:proofErr w:type="spellStart"/>
      <w:r>
        <w:t>product</w:t>
      </w:r>
      <w:proofErr w:type="spellEnd"/>
      <w:r>
        <w:t xml:space="preserve"> </w:t>
      </w:r>
      <w:proofErr w:type="spellStart"/>
      <w:r>
        <w:t>traceability</w:t>
      </w:r>
      <w:proofErr w:type="spellEnd"/>
      <w:r>
        <w:t>" OR "</w:t>
      </w:r>
      <w:proofErr w:type="spellStart"/>
      <w:r>
        <w:t>carbon</w:t>
      </w:r>
      <w:proofErr w:type="spellEnd"/>
      <w:r>
        <w:t xml:space="preserve"> </w:t>
      </w:r>
      <w:proofErr w:type="spellStart"/>
      <w:r>
        <w:t>footprint</w:t>
      </w:r>
      <w:proofErr w:type="spellEnd"/>
      <w:r>
        <w:t>") AND ("ESG" OR "</w:t>
      </w:r>
      <w:proofErr w:type="spellStart"/>
      <w:r>
        <w:t>environmental</w:t>
      </w:r>
      <w:proofErr w:type="spellEnd"/>
      <w:r>
        <w:t xml:space="preserve"> social </w:t>
      </w:r>
      <w:proofErr w:type="spellStart"/>
      <w:r>
        <w:t>governance</w:t>
      </w:r>
      <w:proofErr w:type="spellEnd"/>
      <w:r>
        <w:t>" OR "</w:t>
      </w:r>
      <w:proofErr w:type="spellStart"/>
      <w:r>
        <w:t>sustainability</w:t>
      </w:r>
      <w:proofErr w:type="spellEnd"/>
      <w:r>
        <w:t xml:space="preserve"> </w:t>
      </w:r>
      <w:proofErr w:type="spellStart"/>
      <w:r>
        <w:t>metrics</w:t>
      </w:r>
      <w:proofErr w:type="spellEnd"/>
      <w:r>
        <w:t xml:space="preserve">"). </w:t>
      </w:r>
      <w:r w:rsidR="00021D48" w:rsidRPr="00021D48">
        <w:t>Como la búsqueda completa no arrojó muchos resultados por la naturaleza reciente del tema, se dividió en subconsultas por pares de dominios y los resultados se juntaron quitando los repetidos. En SciELO, por su enfoque regional e iberoamericano, se repitió la búsqueda usando términos en español (economía circular, cadena de suministro verde, pasaporte digital de producto, huella de carbono y métricas ESG) para encontrar documentos en español y portugués.</w:t>
      </w:r>
    </w:p>
    <w:p w14:paraId="00816DC4" w14:textId="77777777" w:rsidR="00EF1C33" w:rsidRDefault="00000000">
      <w:pPr>
        <w:ind w:firstLine="720"/>
        <w:jc w:val="both"/>
      </w:pPr>
      <w:r>
        <w:lastRenderedPageBreak/>
        <w:t>Los criterios de inclusión fueron: (a) artículos de revista revisados por pares, revisiones sistemáticas y capítulos de alto impacto; (b) publicados entre 2022 y 2026; (c) con foco en manufactura, industria o cadena de suministro; y (d) en inglés o español. Se excluyeron: (a) documentos sin revisión por pares, blogs y reportes meramente comerciales; (b) trabajos ajenos al contexto industrial; (c) duplicados; y (d) textos sin acceso a resumen o texto completo.</w:t>
      </w:r>
    </w:p>
    <w:p w14:paraId="7219078D" w14:textId="77777777" w:rsidR="000C5D62" w:rsidRDefault="0072753C" w:rsidP="000C5D62">
      <w:pPr>
        <w:ind w:firstLine="720"/>
        <w:jc w:val="both"/>
      </w:pPr>
      <w:r w:rsidRPr="0072753C">
        <w:t>El</w:t>
      </w:r>
      <w:r>
        <w:t xml:space="preserve"> </w:t>
      </w:r>
      <w:r w:rsidRPr="0072753C">
        <w:t xml:space="preserve">proceso de selección se puede reanudar de la siguiente manera. Durante la fase de identificación, se hallaron 43 registros, distribuidos así: 28 en </w:t>
      </w:r>
      <w:proofErr w:type="spellStart"/>
      <w:r w:rsidRPr="0072753C">
        <w:t>Scopus</w:t>
      </w:r>
      <w:proofErr w:type="spellEnd"/>
      <w:r w:rsidRPr="0072753C">
        <w:t xml:space="preserve"> y 15 en SciELO. No existieron repeticiones entre las dos bases de datos. Durante el recopilado</w:t>
      </w:r>
      <w:r>
        <w:t xml:space="preserve"> </w:t>
      </w:r>
      <w:r w:rsidRPr="0072753C">
        <w:t xml:space="preserve">por título y resumen, se descartaron los 15 registros de SciELO porque no </w:t>
      </w:r>
      <w:r>
        <w:t>se</w:t>
      </w:r>
      <w:r w:rsidRPr="0072753C">
        <w:t xml:space="preserve"> relacion</w:t>
      </w:r>
      <w:r>
        <w:t xml:space="preserve">aban </w:t>
      </w:r>
      <w:r w:rsidRPr="0072753C">
        <w:t>con la manufactura ni con la economía circular; sus temas</w:t>
      </w:r>
      <w:r>
        <w:t xml:space="preserve"> </w:t>
      </w:r>
      <w:r w:rsidRPr="0072753C">
        <w:t>eran comunicación, educación, salud y agricultura. De esta manera,</w:t>
      </w:r>
      <w:r>
        <w:t xml:space="preserve"> </w:t>
      </w:r>
      <w:r w:rsidRPr="0072753C">
        <w:t xml:space="preserve">los 28 registros de </w:t>
      </w:r>
      <w:proofErr w:type="spellStart"/>
      <w:r w:rsidRPr="0072753C">
        <w:t>Scopus</w:t>
      </w:r>
      <w:proofErr w:type="spellEnd"/>
      <w:r w:rsidRPr="0072753C">
        <w:t xml:space="preserve"> prosiguieron</w:t>
      </w:r>
      <w:r>
        <w:t xml:space="preserve"> </w:t>
      </w:r>
      <w:r w:rsidRPr="0072753C">
        <w:t>al análisis del texto completo. Tras</w:t>
      </w:r>
      <w:r>
        <w:t xml:space="preserve"> indagar</w:t>
      </w:r>
      <w:r w:rsidRPr="0072753C">
        <w:t xml:space="preserve"> su importancia</w:t>
      </w:r>
      <w:r>
        <w:t xml:space="preserve"> </w:t>
      </w:r>
      <w:r w:rsidRPr="0072753C">
        <w:t>y acceso, todos los 28 se incluyen en la síntesis sistemática.</w:t>
      </w:r>
      <w:r w:rsidR="000C5D62">
        <w:t xml:space="preserve"> </w:t>
      </w:r>
      <w:r w:rsidR="000C5D62" w:rsidRPr="000C5D62">
        <w:t>La bibliografía del artículo fue construida con el conjunto de fuentes claves y referencias adicionales del marco conceptual, que fueron identificadas a través de la búsqueda por cadena (</w:t>
      </w:r>
      <w:proofErr w:type="spellStart"/>
      <w:r w:rsidR="000C5D62" w:rsidRPr="000C5D62">
        <w:t>snowballing</w:t>
      </w:r>
      <w:proofErr w:type="spellEnd"/>
      <w:r w:rsidR="000C5D62" w:rsidRPr="000C5D62">
        <w:t xml:space="preserve">). </w:t>
      </w:r>
    </w:p>
    <w:p w14:paraId="4FD5C43C" w14:textId="0F97350D" w:rsidR="000149B4" w:rsidRDefault="00474C53" w:rsidP="000C5D62">
      <w:pPr>
        <w:ind w:firstLine="720"/>
        <w:jc w:val="both"/>
      </w:pPr>
      <w:r>
        <w:t>En base a lo anterior, se realizó</w:t>
      </w:r>
      <w:r w:rsidR="000C5D62" w:rsidRPr="000C5D62">
        <w:t xml:space="preserve"> </w:t>
      </w:r>
      <w:r>
        <w:t>la</w:t>
      </w:r>
      <w:r w:rsidR="000C5D62" w:rsidRPr="000C5D62">
        <w:t xml:space="preserve"> matriz</w:t>
      </w:r>
      <w:r>
        <w:t xml:space="preserve"> que viene siendo</w:t>
      </w:r>
      <w:r w:rsidR="000C5D62" w:rsidRPr="000C5D62">
        <w:t xml:space="preserve"> </w:t>
      </w:r>
      <w:r>
        <w:t xml:space="preserve">la </w:t>
      </w:r>
      <w:r w:rsidR="000C5D62" w:rsidRPr="000C5D62">
        <w:t xml:space="preserve">hoja de cálculo, </w:t>
      </w:r>
      <w:r>
        <w:t>la cual contiene la base de datos</w:t>
      </w:r>
      <w:r w:rsidR="000C5D62" w:rsidRPr="000C5D62">
        <w:t xml:space="preserve"> </w:t>
      </w:r>
      <w:r>
        <w:t>recopilada</w:t>
      </w:r>
      <w:r w:rsidR="000C5D62" w:rsidRPr="000C5D62">
        <w:t>. Para cada documento se anotó: el autor, el año, la base de datos, el eje temático, el método utilizado, los resultados más relevantes y la contribución específica. El registro es el que respalda la síntesis comparativa de la sección siguiente y permite rastrear cada afirmación hasta su origen</w:t>
      </w:r>
      <w:r w:rsidR="00021D48" w:rsidRPr="00021D48">
        <w:t>.</w:t>
      </w:r>
    </w:p>
    <w:p w14:paraId="6F5D9D4B" w14:textId="77777777" w:rsidR="000149B4" w:rsidRDefault="000149B4">
      <w:pPr>
        <w:ind w:firstLine="720"/>
        <w:jc w:val="both"/>
      </w:pPr>
    </w:p>
    <w:p w14:paraId="088C327C" w14:textId="77777777" w:rsidR="00EF1C33" w:rsidRDefault="00000000">
      <w:pPr>
        <w:jc w:val="center"/>
      </w:pPr>
      <w:r>
        <w:rPr>
          <w:b/>
          <w:bCs/>
        </w:rPr>
        <w:t>Figura 1</w:t>
      </w:r>
    </w:p>
    <w:p w14:paraId="0579809D" w14:textId="520255D4" w:rsidR="00EF1C33" w:rsidRDefault="00000000">
      <w:pPr>
        <w:jc w:val="center"/>
        <w:rPr>
          <w:i/>
          <w:iCs/>
        </w:rPr>
      </w:pPr>
      <w:r>
        <w:rPr>
          <w:i/>
          <w:iCs/>
        </w:rPr>
        <w:t xml:space="preserve">Flujo de </w:t>
      </w:r>
      <w:r w:rsidR="00474C53">
        <w:rPr>
          <w:i/>
          <w:iCs/>
        </w:rPr>
        <w:t>S</w:t>
      </w:r>
      <w:r>
        <w:rPr>
          <w:i/>
          <w:iCs/>
        </w:rPr>
        <w:t>elección de</w:t>
      </w:r>
      <w:r w:rsidR="00474C53">
        <w:rPr>
          <w:i/>
          <w:iCs/>
        </w:rPr>
        <w:t xml:space="preserve"> E</w:t>
      </w:r>
      <w:r>
        <w:rPr>
          <w:i/>
          <w:iCs/>
        </w:rPr>
        <w:t>studios</w:t>
      </w:r>
    </w:p>
    <w:p w14:paraId="568C0C4C" w14:textId="6AAA8C37" w:rsidR="000149B4" w:rsidRPr="00D5597E" w:rsidRDefault="000149B4" w:rsidP="00D5597E">
      <w:r>
        <w:rPr>
          <w:noProof/>
        </w:rPr>
        <w:lastRenderedPageBreak/>
        <w:drawing>
          <wp:inline distT="0" distB="0" distL="0" distR="0" wp14:anchorId="76D39B0D" wp14:editId="36A22A7B">
            <wp:extent cx="5943600" cy="668655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rotWithShape="1">
                    <a:blip r:embed="rId7" cstate="print">
                      <a:extLst>
                        <a:ext uri="{28A0092B-C50C-407E-A947-70E740481C1C}">
                          <a14:useLocalDpi xmlns:a14="http://schemas.microsoft.com/office/drawing/2010/main" val="0"/>
                        </a:ext>
                      </a:extLst>
                    </a:blip>
                    <a:srcRect b="5416"/>
                    <a:stretch/>
                  </pic:blipFill>
                  <pic:spPr bwMode="auto">
                    <a:xfrm>
                      <a:off x="0" y="0"/>
                      <a:ext cx="5943600" cy="6686550"/>
                    </a:xfrm>
                    <a:prstGeom prst="rect">
                      <a:avLst/>
                    </a:prstGeom>
                    <a:ln>
                      <a:noFill/>
                    </a:ln>
                    <a:extLst>
                      <a:ext uri="{53640926-AAD7-44D8-BBD7-CCE9431645EC}">
                        <a14:shadowObscured xmlns:a14="http://schemas.microsoft.com/office/drawing/2010/main"/>
                      </a:ext>
                    </a:extLst>
                  </pic:spPr>
                </pic:pic>
              </a:graphicData>
            </a:graphic>
          </wp:inline>
        </w:drawing>
      </w:r>
      <w:r w:rsidR="00D5597E" w:rsidRPr="00D5597E">
        <w:rPr>
          <w:i/>
          <w:iCs/>
        </w:rPr>
        <w:t>Nota:</w:t>
      </w:r>
      <w:r w:rsidR="00D5597E">
        <w:rPr>
          <w:i/>
          <w:iCs/>
        </w:rPr>
        <w:t xml:space="preserve"> </w:t>
      </w:r>
      <w:r w:rsidR="00D5597E" w:rsidRPr="00D5597E">
        <w:t>Elaboración propia</w:t>
      </w:r>
      <w:r w:rsidR="00D5597E">
        <w:rPr>
          <w:i/>
          <w:iCs/>
        </w:rPr>
        <w:t xml:space="preserve"> </w:t>
      </w:r>
    </w:p>
    <w:p w14:paraId="5841A8A8" w14:textId="77777777" w:rsidR="000149B4" w:rsidRDefault="000149B4">
      <w:pPr>
        <w:pStyle w:val="Ttulo1"/>
      </w:pPr>
    </w:p>
    <w:p w14:paraId="0B4FCD37" w14:textId="77777777" w:rsidR="00D5597E" w:rsidRDefault="00D5597E">
      <w:pPr>
        <w:pStyle w:val="Ttulo1"/>
      </w:pPr>
    </w:p>
    <w:p w14:paraId="40881AD1" w14:textId="77777777" w:rsidR="000149B4" w:rsidRDefault="000149B4" w:rsidP="000149B4">
      <w:pPr>
        <w:pStyle w:val="Ttulo1"/>
        <w:jc w:val="left"/>
      </w:pPr>
    </w:p>
    <w:p w14:paraId="5C8B8B8E" w14:textId="3D54DEDB" w:rsidR="00021D48" w:rsidRPr="00021D48" w:rsidRDefault="00000000" w:rsidP="00021D48">
      <w:pPr>
        <w:pStyle w:val="Ttulo1"/>
      </w:pPr>
      <w:r>
        <w:lastRenderedPageBreak/>
        <w:t>Desarrollo temático</w:t>
      </w:r>
    </w:p>
    <w:p w14:paraId="3E72C67F" w14:textId="59B0394C" w:rsidR="00021D48" w:rsidRDefault="000C5D62" w:rsidP="000C5D62">
      <w:pPr>
        <w:ind w:firstLine="720"/>
        <w:jc w:val="both"/>
      </w:pPr>
      <w:r w:rsidRPr="000C5D62">
        <w:t>El estudio</w:t>
      </w:r>
      <w:r>
        <w:t xml:space="preserve"> </w:t>
      </w:r>
      <w:r w:rsidRPr="000C5D62">
        <w:t>integra</w:t>
      </w:r>
      <w:r>
        <w:t xml:space="preserve"> </w:t>
      </w:r>
      <w:r w:rsidRPr="000C5D62">
        <w:t>los 28 estudios encontrados mediante</w:t>
      </w:r>
      <w:r>
        <w:t xml:space="preserve"> </w:t>
      </w:r>
      <w:r w:rsidRPr="000C5D62">
        <w:t>la búsqueda sistemática, así como las fuentes del marco conceptual.</w:t>
      </w:r>
      <w:r>
        <w:t xml:space="preserve"> </w:t>
      </w:r>
      <w:r w:rsidR="00021D48" w:rsidRPr="00021D48">
        <w:t>Se agrupan en cinco ejes que no siguen un orden cronológico y no describen cada estudio por separado. En cambio, mezclan y comparan los resultados. El objetivo es mostrar dónde los autores coinciden, dónde difieren y qué preguntas siguen sin respuesta.</w:t>
      </w:r>
    </w:p>
    <w:p w14:paraId="386E56C9" w14:textId="487A08CB" w:rsidR="00EF1C33" w:rsidRPr="00021D48" w:rsidRDefault="00021D48" w:rsidP="00021D48">
      <w:pPr>
        <w:pStyle w:val="Ttulo1"/>
      </w:pPr>
      <w:r>
        <w:t>E</w:t>
      </w:r>
      <w:r w:rsidRPr="00021D48">
        <w:t>conomía circular en la manufactura: de la eficiencia a la regeneración</w:t>
      </w:r>
    </w:p>
    <w:p w14:paraId="29DF6BA3" w14:textId="224F5528" w:rsidR="009409D0" w:rsidRDefault="009409D0">
      <w:pPr>
        <w:ind w:firstLine="720"/>
        <w:jc w:val="both"/>
      </w:pPr>
      <w:r w:rsidRPr="009409D0">
        <w:t>La literatura reciente indica que la economía circular en la manufactura ya no se ve cómo lo mismo que el reciclaje. En cambio, se entiende como un cambio en el diseño y en el modelo de negocio (</w:t>
      </w:r>
      <w:proofErr w:type="spellStart"/>
      <w:r w:rsidRPr="009409D0">
        <w:t>Geissdoerfer</w:t>
      </w:r>
      <w:proofErr w:type="spellEnd"/>
      <w:r w:rsidRPr="009409D0">
        <w:t xml:space="preserve"> et al., 2017; Kirchherr et al., 2017). La variedad de definiciones que señalaban Kirchherr et al. (2017) sigue presente. Estos autores encontraron 114 definiciones diferentes. Sin embargo, los trabajos más recientes prefieren usar una jerarquía de estrategias como reducir, reutilizar, remanufacturar y reciclar para organizar el debate. Lieder y Rashid (2016) ya habían señalado que lograr una implementación circular requiere alinear tres áreas al mismo tiempo: la ambiental, la de recursos y la económica. Estudios posteriores confirman que el punto más débil suele ser la parte económica. Sin una ganancia clara, las iniciativas circulares no logran crecer.</w:t>
      </w:r>
    </w:p>
    <w:p w14:paraId="4574ED3A" w14:textId="4609AC4E" w:rsidR="00EF1C33" w:rsidRDefault="000C5D62" w:rsidP="000C5D62">
      <w:pPr>
        <w:ind w:firstLine="720"/>
        <w:jc w:val="both"/>
      </w:pPr>
      <w:r w:rsidRPr="000C5D62">
        <w:t xml:space="preserve">Cada vez hay más </w:t>
      </w:r>
      <w:proofErr w:type="spellStart"/>
      <w:r w:rsidRPr="000C5D62">
        <w:t>aceptaciónen</w:t>
      </w:r>
      <w:proofErr w:type="spellEnd"/>
      <w:r w:rsidRPr="000C5D62">
        <w:t xml:space="preserve"> que la circularidad depende de la información. Rajput y Singh (2019) y Nascimento et al. (2019) </w:t>
      </w:r>
      <w:proofErr w:type="spellStart"/>
      <w:r w:rsidRPr="000C5D62">
        <w:t>evidencianque</w:t>
      </w:r>
      <w:proofErr w:type="spellEnd"/>
      <w:r w:rsidRPr="000C5D62">
        <w:t xml:space="preserve"> las tecnologías digitales posibilitan la adopción de prácticas circulares al reducir la </w:t>
      </w:r>
      <w:proofErr w:type="spellStart"/>
      <w:r w:rsidRPr="000C5D62">
        <w:t>preocupaciónsobre</w:t>
      </w:r>
      <w:proofErr w:type="spellEnd"/>
      <w:r w:rsidRPr="000C5D62">
        <w:t xml:space="preserve"> el estado y la composición de los productos. Los autores difieren en alcance: algunos plantean la circularidad como optimización incremental de la eficiencia material, mientras que otros, siguiendo a Stahel (2016), </w:t>
      </w:r>
      <w:proofErr w:type="spellStart"/>
      <w:r w:rsidRPr="000C5D62">
        <w:t>planteanla</w:t>
      </w:r>
      <w:proofErr w:type="spellEnd"/>
      <w:r w:rsidRPr="000C5D62">
        <w:t xml:space="preserve"> circularidad como cambio de modelo hacia una economía de la funcionalidad, donde la empresa </w:t>
      </w:r>
      <w:r w:rsidR="00474C53" w:rsidRPr="000C5D62">
        <w:lastRenderedPageBreak/>
        <w:t>comercializa desempeño</w:t>
      </w:r>
      <w:r w:rsidRPr="000C5D62">
        <w:t xml:space="preserve"> y no objetos.</w:t>
      </w:r>
      <w:r>
        <w:t xml:space="preserve"> Pruebas</w:t>
      </w:r>
      <w:r w:rsidR="009409D0" w:rsidRPr="009409D0">
        <w:t xml:space="preserve"> reciente</w:t>
      </w:r>
      <w:r>
        <w:t>s</w:t>
      </w:r>
      <w:r w:rsidR="009409D0" w:rsidRPr="009409D0">
        <w:t xml:space="preserve"> refuerza</w:t>
      </w:r>
      <w:r>
        <w:t>n</w:t>
      </w:r>
      <w:r w:rsidR="009409D0" w:rsidRPr="009409D0">
        <w:t xml:space="preserve"> esta lectura: </w:t>
      </w:r>
      <w:r>
        <w:t>la implementac</w:t>
      </w:r>
      <w:r w:rsidR="009409D0" w:rsidRPr="009409D0">
        <w:t xml:space="preserve">ión de tecnologías de Industria 4.0 mejora desempeño circular, sobre todo a través de compra verde y remanufactura (Sahoo &amp; </w:t>
      </w:r>
      <w:proofErr w:type="spellStart"/>
      <w:r w:rsidR="009409D0" w:rsidRPr="009409D0">
        <w:t>Jakhar</w:t>
      </w:r>
      <w:proofErr w:type="spellEnd"/>
      <w:r w:rsidR="009409D0" w:rsidRPr="009409D0">
        <w:t xml:space="preserve">, 2024), y despliegue en pequeñas y medianas empresas europeas </w:t>
      </w:r>
      <w:r w:rsidR="00474C53" w:rsidRPr="009409D0">
        <w:t>habilitas prácticas circulares concretas</w:t>
      </w:r>
      <w:r w:rsidR="009409D0" w:rsidRPr="009409D0">
        <w:t xml:space="preserve"> (</w:t>
      </w:r>
      <w:proofErr w:type="spellStart"/>
      <w:r w:rsidR="009409D0" w:rsidRPr="009409D0">
        <w:t>Findik</w:t>
      </w:r>
      <w:proofErr w:type="spellEnd"/>
      <w:r w:rsidR="009409D0" w:rsidRPr="009409D0">
        <w:t xml:space="preserve"> et al., 2023; </w:t>
      </w:r>
      <w:proofErr w:type="spellStart"/>
      <w:r w:rsidR="009409D0" w:rsidRPr="009409D0">
        <w:t>Patyal</w:t>
      </w:r>
      <w:proofErr w:type="spellEnd"/>
      <w:r w:rsidR="009409D0" w:rsidRPr="009409D0">
        <w:t xml:space="preserve"> et al., 2022).</w:t>
      </w:r>
      <w:r w:rsidR="009409D0">
        <w:t xml:space="preserve"> </w:t>
      </w:r>
      <w:r w:rsidR="00806B40" w:rsidRPr="00806B40">
        <w:t>Sin embargo, para muchas pymes de economías que están en desarrollo la circularidad sigue viendo una utopía remota. La circularidad está muy restringida por los límites financieros y organizativos (</w:t>
      </w:r>
      <w:proofErr w:type="spellStart"/>
      <w:r w:rsidR="00806B40" w:rsidRPr="00806B40">
        <w:t>Saharan</w:t>
      </w:r>
      <w:proofErr w:type="spellEnd"/>
      <w:r w:rsidR="00806B40" w:rsidRPr="00806B40">
        <w:t xml:space="preserve"> et al., 2023). El corpus encontrado en esta revisión apoya este transcurrir. Numerosos trabajos sugieren marcos e indicadores de la circularidad en planta y de la del producto (</w:t>
      </w:r>
      <w:proofErr w:type="spellStart"/>
      <w:r w:rsidR="00806B40" w:rsidRPr="00806B40">
        <w:t>Baratsas</w:t>
      </w:r>
      <w:proofErr w:type="spellEnd"/>
      <w:r w:rsidR="00806B40" w:rsidRPr="00806B40">
        <w:t xml:space="preserve"> et al., 2022; Betts et al., 2022; Khan &amp; Abonyi, 2022; </w:t>
      </w:r>
      <w:proofErr w:type="spellStart"/>
      <w:r w:rsidR="00806B40" w:rsidRPr="00806B40">
        <w:t>Lahane</w:t>
      </w:r>
      <w:proofErr w:type="spellEnd"/>
      <w:r w:rsidR="00806B40" w:rsidRPr="00806B40">
        <w:t xml:space="preserve"> &amp; Kant, 2022; Prakash et al., 2026; </w:t>
      </w:r>
      <w:proofErr w:type="spellStart"/>
      <w:r w:rsidR="00806B40" w:rsidRPr="00806B40">
        <w:t>Saroha</w:t>
      </w:r>
      <w:proofErr w:type="spellEnd"/>
      <w:r w:rsidR="00806B40" w:rsidRPr="00806B40">
        <w:t xml:space="preserve"> et al., 2022). Otros trabajos plantean la economía circular como la base del </w:t>
      </w:r>
      <w:r w:rsidR="00806B40">
        <w:t>rediseño</w:t>
      </w:r>
      <w:r w:rsidR="00806B40" w:rsidRPr="00806B40">
        <w:t xml:space="preserve"> manufacturero y de los nuevos modelos de negocio regenerativos (Behera &amp; Poddar, 2026; Jadallah et al., 2026; Li et al., 2026; Singh et al., 2026). La tensión entre eficiencia-transición se hace presente en todo el campo y se repite en los</w:t>
      </w:r>
      <w:r w:rsidR="00806B40">
        <w:t xml:space="preserve"> demás ejes.</w:t>
      </w:r>
    </w:p>
    <w:p w14:paraId="31BDAD80" w14:textId="10DD36D3" w:rsidR="00EF1C33" w:rsidRDefault="00000000">
      <w:pPr>
        <w:pStyle w:val="Ttulo2"/>
      </w:pPr>
      <w:r>
        <w:t>Gestión sostenible</w:t>
      </w:r>
      <w:r w:rsidR="00806B40">
        <w:t xml:space="preserve"> y verde</w:t>
      </w:r>
      <w:r>
        <w:t xml:space="preserve"> de la cadena de suministro</w:t>
      </w:r>
    </w:p>
    <w:p w14:paraId="140F24DA" w14:textId="05964687" w:rsidR="009409D0" w:rsidRDefault="00806B40">
      <w:pPr>
        <w:ind w:firstLine="720"/>
        <w:jc w:val="both"/>
      </w:pPr>
      <w:r w:rsidRPr="00806B40">
        <w:t>La gestión verde de la cadena de suministro tiene una mayor historia, lo que ha permitido que haya más evidencia</w:t>
      </w:r>
      <w:r w:rsidR="009409D0" w:rsidRPr="009409D0">
        <w:t xml:space="preserve">. Desde la revisión clave de Srivastava en 2007 y los modelos de medición de Zhu et al. en 2008, el área ha demostrado que las prácticas verdes, como compras ambientales, ecodiseño y logística inversa, pueden mejorar el desempeño ambiental sin afectar el desempeño económico. Sin embargo, los resultados varían según el sector. Sarkis et al. (2011) y Wiredu et al. (2024) han señalado esto. Carter y Rogers (2008) extendieron el marco al incluir la dimensión social, lo que llevó al concepto de cadena de suministro sostenible. Investigaciones recientes, basadas en la visión de recursos, muestran que la conectividad, el intercambio de información y el compromiso de la alta dirección son factores clave para impulsar prácticas verdes efectivas. Khan </w:t>
      </w:r>
      <w:r w:rsidR="009409D0" w:rsidRPr="009409D0">
        <w:lastRenderedPageBreak/>
        <w:t>et al. (2023) y Wang &amp; Ozturk (2023) han confirmado esto. Las revisiones más amplias afirman que estas prácticas mejoran el desempeño sostenible de la empresa. Maheshwari et al. (2025) lo sostienen.</w:t>
      </w:r>
    </w:p>
    <w:p w14:paraId="7B790CC2" w14:textId="77777777" w:rsidR="00D5597E" w:rsidRDefault="009409D0">
      <w:pPr>
        <w:ind w:firstLine="720"/>
        <w:jc w:val="both"/>
      </w:pPr>
      <w:r w:rsidRPr="009409D0">
        <w:t>Los trabajos recientes incluyen dos nuevos énfasis. El primero es la logística inversa y los circuitos cerrados, que sirven como columna vertebral de la circularidad. Govindan et al. (2015) describieron cómo la recuperación de producto conecta el final de vida con nuevos ciclos productivos. Las revisiones más recientes posicionan las tecnologías de la Industria 4.0 y la transformación digital como los principales habilitadores de las cadenas de suministro circulares (Nureen et al., 2023; Taddei et al., 2022).</w:t>
      </w:r>
    </w:p>
    <w:p w14:paraId="60C935D2" w14:textId="05BE957A" w:rsidR="00EF1C33" w:rsidRDefault="00E30B64">
      <w:pPr>
        <w:ind w:firstLine="720"/>
        <w:jc w:val="both"/>
      </w:pPr>
      <w:r w:rsidRPr="00E30B64">
        <w:t xml:space="preserve">El segundo punto es la resiliencia, que ha ganado importancia debido a los problemas recientes en las cadenas globales. Esto se alinea con la Industria 5.0, que ve la resiliencia como algo importante junto con la sostenibilidad y el enfoque humano (Ivanov, 2023). Sin embargo, algunos autores advierten sobre el riesgo de greenwashing logístico: decir que hay cadenas verdes sin pruebas reales, lo que la trazabilidad digital busca resolver. La información recopilada en esta revisión apoya esta idea: estudios recientes muestran el estado actual y los desafíos de las cadenas de suministro circulares y verdes (Akram, 2026; Farrokhi et al., 2026; </w:t>
      </w:r>
      <w:proofErr w:type="spellStart"/>
      <w:r w:rsidRPr="00E30B64">
        <w:t>Hernandez</w:t>
      </w:r>
      <w:proofErr w:type="spellEnd"/>
      <w:r w:rsidRPr="00E30B64">
        <w:t xml:space="preserve"> Marquina et al., 2022; Rao et al., 2026; Rodríguez-</w:t>
      </w:r>
      <w:proofErr w:type="spellStart"/>
      <w:r w:rsidRPr="00E30B64">
        <w:t>Mañay</w:t>
      </w:r>
      <w:proofErr w:type="spellEnd"/>
      <w:r w:rsidRPr="00E30B64">
        <w:t xml:space="preserve"> et al., 2026; Roy et al., 2026; </w:t>
      </w:r>
      <w:proofErr w:type="spellStart"/>
      <w:r w:rsidRPr="00E30B64">
        <w:t>Theeraworawit</w:t>
      </w:r>
      <w:proofErr w:type="spellEnd"/>
      <w:r w:rsidRPr="00E30B64">
        <w:t xml:space="preserve"> et al., 2022), así como el papel de la digitalización, la capacidad circular y la orientación tecnológica en su funcionamiento (Feng et al., 2026; </w:t>
      </w:r>
      <w:proofErr w:type="spellStart"/>
      <w:r w:rsidRPr="00E30B64">
        <w:t>Iyiola</w:t>
      </w:r>
      <w:proofErr w:type="spellEnd"/>
      <w:r w:rsidRPr="00E30B64">
        <w:t xml:space="preserve">, 2026; Panagiotopoulou et al., 2026; Pawar &amp; </w:t>
      </w:r>
      <w:proofErr w:type="spellStart"/>
      <w:r w:rsidRPr="00E30B64">
        <w:t>Alsedais</w:t>
      </w:r>
      <w:proofErr w:type="spellEnd"/>
      <w:r w:rsidRPr="00E30B64">
        <w:t xml:space="preserve">, 2026; </w:t>
      </w:r>
      <w:proofErr w:type="spellStart"/>
      <w:r w:rsidRPr="00E30B64">
        <w:t>Sahidu</w:t>
      </w:r>
      <w:proofErr w:type="spellEnd"/>
      <w:r w:rsidRPr="00E30B64">
        <w:t xml:space="preserve"> </w:t>
      </w:r>
      <w:proofErr w:type="spellStart"/>
      <w:r w:rsidRPr="00E30B64">
        <w:t>Jawula</w:t>
      </w:r>
      <w:proofErr w:type="spellEnd"/>
      <w:r w:rsidRPr="00E30B64">
        <w:t xml:space="preserve"> Mandego et al., 2026; Shahzad et al., 2026).</w:t>
      </w:r>
    </w:p>
    <w:p w14:paraId="653EECB5" w14:textId="77777777" w:rsidR="00806B40" w:rsidRDefault="00806B40">
      <w:pPr>
        <w:ind w:firstLine="720"/>
        <w:jc w:val="both"/>
      </w:pPr>
    </w:p>
    <w:p w14:paraId="6F398EC4" w14:textId="77777777" w:rsidR="00806B40" w:rsidRDefault="00806B40">
      <w:pPr>
        <w:ind w:firstLine="720"/>
        <w:jc w:val="both"/>
      </w:pPr>
    </w:p>
    <w:p w14:paraId="724269CC" w14:textId="77777777" w:rsidR="00E30B64" w:rsidRDefault="00E30B64">
      <w:pPr>
        <w:ind w:firstLine="720"/>
        <w:jc w:val="both"/>
      </w:pPr>
    </w:p>
    <w:p w14:paraId="2222911B" w14:textId="77777777" w:rsidR="00EF1C33" w:rsidRDefault="00000000">
      <w:pPr>
        <w:pStyle w:val="Ttulo2"/>
      </w:pPr>
      <w:r>
        <w:lastRenderedPageBreak/>
        <w:t>Pasaporte digital de producto y trazabilidad de datos</w:t>
      </w:r>
    </w:p>
    <w:p w14:paraId="15C08664" w14:textId="77777777" w:rsidR="00E30B64" w:rsidRDefault="00E30B64">
      <w:pPr>
        <w:ind w:firstLine="720"/>
        <w:jc w:val="both"/>
      </w:pPr>
      <w:r w:rsidRPr="00E30B64">
        <w:t xml:space="preserve">El pasaporte digital de producto es el eje más joven, y por eso es el de mayor dispersión. Adisorn et al. (2021) ofrecieron una de las primeras conceptualizaciones orientadas a la circularidad, definiendo pasaporte digital de producto como un repositorio estructurado de datos que acompaña al producto a lo largo de su vida. Los trabajos más recientes operan pasaporte digital de producto como instrumento de trazabilidad para las decisiones de ciclo de vida y proponen principios de diseño y marcos tecnológicos para la implementación (Jensen et al., 2023; Langley et al., 2023; </w:t>
      </w:r>
      <w:proofErr w:type="spellStart"/>
      <w:r w:rsidRPr="00E30B64">
        <w:t>Voulgaridis</w:t>
      </w:r>
      <w:proofErr w:type="spellEnd"/>
      <w:r w:rsidRPr="00E30B64">
        <w:t xml:space="preserve"> et al., 2024). La literatura posterior discute pasaporte digital de producto sobre todo como respuesta al marco europeo de ecodiseño para productos sostenibles, y pasaporte digital de producto convierte en requisito para categorías prioritarias como baterías, textiles y electrónica.</w:t>
      </w:r>
    </w:p>
    <w:p w14:paraId="5F0B8AAD" w14:textId="3002AF11" w:rsidR="00806B40" w:rsidRPr="00806B40" w:rsidRDefault="00E30B64" w:rsidP="00806B40">
      <w:pPr>
        <w:ind w:firstLine="720"/>
        <w:jc w:val="both"/>
      </w:pPr>
      <w:r w:rsidRPr="00E30B64">
        <w:t xml:space="preserve">El consenso emergente dice que el valor del pasaporte no está en el papel, sino en la interoperabilidad de los datos que lleva (Psarommatis &amp; May, 2024). Sin normas comunes de identificación, formato y verificación, el riesgo es crear pasaportes incompatibles entre fabricantes. Hay dos tensiones en esta discusión. La primera es la gobernanza de los datos: quién los crea, quién los guarda y quién puede revisarlos. La segunda es la tecnología de soporte. </w:t>
      </w:r>
      <w:r w:rsidR="00F132FA">
        <w:t>Entonces por medio de ciertas</w:t>
      </w:r>
      <w:r w:rsidR="00806B40" w:rsidRPr="00806B40">
        <w:t xml:space="preserve"> fuentes</w:t>
      </w:r>
      <w:r w:rsidR="00F132FA">
        <w:t xml:space="preserve"> verídicas, se recomienda en casos como estos el uso de</w:t>
      </w:r>
      <w:r w:rsidR="00806B40" w:rsidRPr="00806B40">
        <w:t xml:space="preserve"> cadenas de bloques</w:t>
      </w:r>
      <w:r w:rsidR="00F132FA">
        <w:t xml:space="preserve"> teniendo como fin, garantizar</w:t>
      </w:r>
      <w:r w:rsidR="00806B40" w:rsidRPr="00806B40">
        <w:t xml:space="preserve"> la inmutabilidad, </w:t>
      </w:r>
      <w:r w:rsidR="00F132FA">
        <w:t xml:space="preserve">sin </w:t>
      </w:r>
      <w:proofErr w:type="gramStart"/>
      <w:r w:rsidR="00F132FA">
        <w:t>embargo</w:t>
      </w:r>
      <w:proofErr w:type="gramEnd"/>
      <w:r w:rsidR="00F132FA">
        <w:t xml:space="preserve"> demás fuentes</w:t>
      </w:r>
      <w:r w:rsidR="00806B40" w:rsidRPr="00806B40">
        <w:t xml:space="preserve"> </w:t>
      </w:r>
      <w:r w:rsidR="00F132FA">
        <w:t>lo conciben</w:t>
      </w:r>
      <w:r w:rsidR="00806B40" w:rsidRPr="00806B40">
        <w:t xml:space="preserve"> innecesario y </w:t>
      </w:r>
      <w:r w:rsidR="00F132FA">
        <w:t xml:space="preserve">a la vez que </w:t>
      </w:r>
      <w:r w:rsidR="00806B40" w:rsidRPr="00806B40">
        <w:t>costoso</w:t>
      </w:r>
      <w:r w:rsidR="00F132FA">
        <w:t>, c</w:t>
      </w:r>
      <w:r w:rsidR="00806B40" w:rsidRPr="00806B40">
        <w:t>ompara</w:t>
      </w:r>
      <w:r w:rsidR="00F132FA">
        <w:t>tivamente</w:t>
      </w:r>
      <w:r w:rsidR="00806B40" w:rsidRPr="00806B40">
        <w:t xml:space="preserve"> </w:t>
      </w:r>
      <w:r w:rsidR="00F132FA">
        <w:t xml:space="preserve">en </w:t>
      </w:r>
      <w:r w:rsidR="00806B40" w:rsidRPr="00806B40">
        <w:t>registros central</w:t>
      </w:r>
      <w:r w:rsidR="00F132FA">
        <w:t>es</w:t>
      </w:r>
      <w:r w:rsidR="00806B40" w:rsidRPr="00806B40">
        <w:t xml:space="preserve"> </w:t>
      </w:r>
      <w:r w:rsidR="00F132FA">
        <w:t>de cierta forma mejor gestionados</w:t>
      </w:r>
      <w:r w:rsidR="00806B40" w:rsidRPr="00806B40">
        <w:t>.</w:t>
      </w:r>
    </w:p>
    <w:p w14:paraId="15238212" w14:textId="0AAF3E37" w:rsidR="00D5597E" w:rsidRDefault="00E30B64" w:rsidP="00782ED0">
      <w:pPr>
        <w:ind w:firstLine="720"/>
        <w:jc w:val="both"/>
      </w:pPr>
      <w:r w:rsidRPr="00E30B64">
        <w:t xml:space="preserve"> Las revisiones recientes coinciden en que la cadena de bloques puede ofrecer trazabilidad e inmutabilidad, pero su adopción todavía enfrenta obstáculos técnicos y de costo (Abbas &amp; Myeong, 2024).</w:t>
      </w:r>
      <w:r>
        <w:t xml:space="preserve"> </w:t>
      </w:r>
      <w:r w:rsidRPr="00E30B64">
        <w:t xml:space="preserve">En esa dirección, trabajos recientes incluyen indicadores de circularidad en el propio pasaporte y examinan la transición de las empresas hacia su uso (Mesbahi et al., 2026; </w:t>
      </w:r>
      <w:proofErr w:type="spellStart"/>
      <w:r w:rsidRPr="00E30B64">
        <w:lastRenderedPageBreak/>
        <w:t>Pourjafarian</w:t>
      </w:r>
      <w:proofErr w:type="spellEnd"/>
      <w:r w:rsidRPr="00E30B64">
        <w:t xml:space="preserve"> et al., 2026). A diferencia de los ejes anteriores, aquí la evidencia empírica sigue siendo limitada. Predominan los marcos conceptuales y los estudios de prueba de concepto. Esto representa un hueco en la investigación.</w:t>
      </w:r>
    </w:p>
    <w:p w14:paraId="7AF26DC4" w14:textId="7FB9D238" w:rsidR="00EF1C33" w:rsidRPr="00E30B64" w:rsidRDefault="00000000" w:rsidP="00E30B64">
      <w:pPr>
        <w:pStyle w:val="Ttulo2"/>
      </w:pPr>
      <w:r w:rsidRPr="00E30B64">
        <w:t>Contabilidad de carbono y descarbonización de la producción</w:t>
      </w:r>
    </w:p>
    <w:p w14:paraId="27475C33" w14:textId="626E08B9" w:rsidR="00E30B64" w:rsidRDefault="00E30B64">
      <w:pPr>
        <w:ind w:firstLine="720"/>
        <w:jc w:val="both"/>
      </w:pPr>
      <w:r w:rsidRPr="00E30B64">
        <w:t xml:space="preserve">La medición de la huella de carbono es quizá el lugar donde la convergencia entre lo técnico y lo financiero se ve más. </w:t>
      </w:r>
      <w:proofErr w:type="spellStart"/>
      <w:r w:rsidRPr="00E30B64">
        <w:t>Hertwich</w:t>
      </w:r>
      <w:proofErr w:type="spellEnd"/>
      <w:r w:rsidRPr="00E30B64">
        <w:t xml:space="preserve"> y Wood (2018) mostraron que las emisiones de alcance 3 que aparecen fuera de las fronteras directas de la empresa, en proveedores y en el uso del producto, suelen ser la mayor parte del impacto industrial. El hecho de que las emisiones de alcance 3 empujen el foco de la planta a toda la cadena</w:t>
      </w:r>
      <w:r>
        <w:t xml:space="preserve">. </w:t>
      </w:r>
      <w:r w:rsidRPr="00E30B64">
        <w:t>Las últimas revisiones muestran que el alcance 3 puede representar más del 75 % de las emisiones de una empresa. Aunque esto es así, el reporte de estas emisiones sigue siendo en su mayoría opcional y se basa en promedios del sector. Esto indica que hay una necesidad clara de compartir información verificable entre las partes involucradas. Estudios recientes respaldan esta idea (Hettler &amp; Graf-</w:t>
      </w:r>
      <w:proofErr w:type="spellStart"/>
      <w:r w:rsidRPr="00E30B64">
        <w:t>Vlachy</w:t>
      </w:r>
      <w:proofErr w:type="spellEnd"/>
      <w:r w:rsidRPr="00E30B64">
        <w:t xml:space="preserve">, 2024; Stenzel &amp; </w:t>
      </w:r>
      <w:proofErr w:type="spellStart"/>
      <w:r w:rsidRPr="00E30B64">
        <w:t>Waichman</w:t>
      </w:r>
      <w:proofErr w:type="spellEnd"/>
      <w:r w:rsidRPr="00E30B64">
        <w:t>, 2023). El Protocolo de Gases de Efecto Invernadero sigue siendo el estándar principal. Este documento fue creado por WBCSD y WRI en 2011. Pero aplicarlo por producto requiere datos específicos.</w:t>
      </w:r>
      <w:r w:rsidR="00F132FA">
        <w:t xml:space="preserve"> En resumidas cuentas, la</w:t>
      </w:r>
      <w:r w:rsidRPr="00E30B64">
        <w:t xml:space="preserve"> trazabilidad digital </w:t>
      </w:r>
      <w:r w:rsidR="00F132FA">
        <w:t>logra proporcionar</w:t>
      </w:r>
      <w:r w:rsidRPr="00E30B64">
        <w:t xml:space="preserve"> </w:t>
      </w:r>
      <w:r w:rsidR="00F132FA">
        <w:t xml:space="preserve">los </w:t>
      </w:r>
      <w:r w:rsidRPr="00E30B64">
        <w:t>datos</w:t>
      </w:r>
      <w:r w:rsidR="00F132FA">
        <w:t xml:space="preserve"> en cierta manera del todo eficientes y de confiabilidad</w:t>
      </w:r>
      <w:r w:rsidRPr="00E30B64">
        <w:t>.</w:t>
      </w:r>
    </w:p>
    <w:p w14:paraId="70431322" w14:textId="35FB0BE7" w:rsidR="00782ED0" w:rsidRDefault="00782ED0" w:rsidP="00782ED0">
      <w:pPr>
        <w:ind w:firstLine="720"/>
        <w:jc w:val="both"/>
      </w:pPr>
      <w:r w:rsidRPr="00782ED0">
        <w:t xml:space="preserve">La literatura más reciente señala que existe una relación directa entre la digitalización y la descarbonización. </w:t>
      </w:r>
      <w:proofErr w:type="spellStart"/>
      <w:r w:rsidRPr="00782ED0">
        <w:t>Ghobakhloo</w:t>
      </w:r>
      <w:proofErr w:type="spellEnd"/>
      <w:r w:rsidRPr="00782ED0">
        <w:t xml:space="preserve"> (2020), Bai et al. (2020) y Ching et al. (2022) señalan que las tecnologías de la Industria 4.0 ofrecen claras oportunidades de sostenibilidad. </w:t>
      </w:r>
      <w:r w:rsidR="00F132FA">
        <w:t>Sin embargo</w:t>
      </w:r>
      <w:r w:rsidRPr="00782ED0">
        <w:t xml:space="preserve">, </w:t>
      </w:r>
      <w:r w:rsidR="00F132FA">
        <w:t>hay la posibilidad donde se da advertencia en que el</w:t>
      </w:r>
      <w:r w:rsidRPr="00782ED0">
        <w:t xml:space="preserve"> efecto neto </w:t>
      </w:r>
      <w:r w:rsidR="00F132FA">
        <w:t xml:space="preserve">difícilmente sea </w:t>
      </w:r>
      <w:r w:rsidRPr="00782ED0">
        <w:t xml:space="preserve">automático, </w:t>
      </w:r>
      <w:r w:rsidR="00F132FA">
        <w:t>debido principalmente a que</w:t>
      </w:r>
      <w:r w:rsidRPr="00782ED0">
        <w:t xml:space="preserve"> la</w:t>
      </w:r>
      <w:r w:rsidR="00D315A1">
        <w:t xml:space="preserve"> </w:t>
      </w:r>
      <w:r w:rsidRPr="00782ED0">
        <w:t xml:space="preserve">infraestructura </w:t>
      </w:r>
      <w:r w:rsidR="00D315A1">
        <w:t xml:space="preserve">en este caso </w:t>
      </w:r>
      <w:r w:rsidRPr="00782ED0">
        <w:t>digital</w:t>
      </w:r>
      <w:r w:rsidR="00D315A1">
        <w:t xml:space="preserve">, requiera de </w:t>
      </w:r>
      <w:r w:rsidRPr="00782ED0">
        <w:t xml:space="preserve">energía y </w:t>
      </w:r>
      <w:r w:rsidR="00D315A1">
        <w:t>recursos</w:t>
      </w:r>
      <w:r w:rsidRPr="00782ED0">
        <w:t xml:space="preserve">. </w:t>
      </w:r>
      <w:r w:rsidR="00D315A1">
        <w:t>De tal forma</w:t>
      </w:r>
      <w:r w:rsidRPr="00782ED0">
        <w:t xml:space="preserve">, </w:t>
      </w:r>
      <w:r w:rsidR="00D315A1">
        <w:t>cierto</w:t>
      </w:r>
      <w:r w:rsidR="00D315A1" w:rsidRPr="00782ED0">
        <w:t>s estudios</w:t>
      </w:r>
      <w:r w:rsidRPr="00782ED0">
        <w:t xml:space="preserve"> </w:t>
      </w:r>
      <w:r w:rsidR="00D315A1">
        <w:t>sugieren</w:t>
      </w:r>
      <w:r>
        <w:t xml:space="preserve"> </w:t>
      </w:r>
      <w:r w:rsidR="00D315A1">
        <w:t>evaluar</w:t>
      </w:r>
      <w:r w:rsidRPr="00782ED0">
        <w:t xml:space="preserve"> el balance completo </w:t>
      </w:r>
      <w:r w:rsidR="00D315A1">
        <w:t>a partir del</w:t>
      </w:r>
      <w:r w:rsidRPr="00782ED0">
        <w:t xml:space="preserve"> análisis de ciclo de vida, </w:t>
      </w:r>
      <w:r w:rsidR="00D315A1">
        <w:lastRenderedPageBreak/>
        <w:t xml:space="preserve">junto con </w:t>
      </w:r>
      <w:r w:rsidRPr="00782ED0">
        <w:t>las emisiones operativas. Los investigadores están de acuerdo en</w:t>
      </w:r>
      <w:r>
        <w:t xml:space="preserve"> </w:t>
      </w:r>
      <w:r w:rsidRPr="00782ED0">
        <w:t>que la contabilidad del carbono se está convirtiendo en</w:t>
      </w:r>
      <w:r>
        <w:t xml:space="preserve"> </w:t>
      </w:r>
      <w:r w:rsidRPr="00782ED0">
        <w:t>la métrica que una la economía circular con el reporte ESG</w:t>
      </w:r>
      <w:r w:rsidR="00E30B64">
        <w:t>. Esta métrica convierte las decisiones de diseño y de cadena en una cifra comparable y cada vez más exigible.</w:t>
      </w:r>
    </w:p>
    <w:p w14:paraId="47FC3C0F" w14:textId="77777777" w:rsidR="00EF1C33" w:rsidRDefault="00000000">
      <w:pPr>
        <w:pStyle w:val="Ttulo2"/>
      </w:pPr>
      <w:r>
        <w:t>Medición ESG: estandarización, reporte y desempeño</w:t>
      </w:r>
    </w:p>
    <w:p w14:paraId="2E122981" w14:textId="1A2CF7F7" w:rsidR="00E30B64" w:rsidRDefault="00782ED0" w:rsidP="00782ED0">
      <w:pPr>
        <w:ind w:firstLine="720"/>
        <w:jc w:val="both"/>
      </w:pPr>
      <w:r w:rsidRPr="00782ED0">
        <w:t>El cuarto elemento es el que da la estructura para hacerla evaluación. Los resultados obtenidos por Friede y sus colaboradores (2015), tras analizar más de dos mil trabajos, señalan que la relación entre el rendimiento</w:t>
      </w:r>
      <w:r>
        <w:t xml:space="preserve"> </w:t>
      </w:r>
      <w:r w:rsidRPr="00782ED0">
        <w:t>ESG y el rendimiento</w:t>
      </w:r>
      <w:r>
        <w:t xml:space="preserve"> </w:t>
      </w:r>
      <w:r w:rsidRPr="00782ED0">
        <w:t>financiero es mayoritariamente positiva o negativa.</w:t>
      </w:r>
      <w:r>
        <w:t xml:space="preserve"> </w:t>
      </w:r>
      <w:r w:rsidR="00E30B64" w:rsidRPr="00E30B64">
        <w:t>Esto ayuda a comprender por qué las empresas optan por esta práctica. Khan et al. (2016) aclararon este resultado al mostrar que no cualquier indicador ESG es importante, sino solo los que son relevantes para cada sector. Este es un punto fundamental para la industria manufacturera, donde los aspectos ambientales tienen un peso diferente en comparación con los servicios</w:t>
      </w:r>
      <w:r>
        <w:t xml:space="preserve">. </w:t>
      </w:r>
      <w:r w:rsidR="00E30B64" w:rsidRPr="00E30B64">
        <w:t xml:space="preserve">La nueva evidencia del sector indica que la transformación digital y la innovación sostenible ayudan a mejorar el desempeño en temas ESG de las empresas que fabrican productos. Esto se ve respaldado por estudios recientes como los de Wang et al. (2023) y Yang et al. (2024). También hay investigaciones recientes en el área manufacturera que muestran que un mejor desempeño ESG está relacionado con menos emisiones de carbono y un mayor valor de la empresa. Los estudios de Duan et al. (2023), Ye y </w:t>
      </w:r>
      <w:proofErr w:type="spellStart"/>
      <w:r w:rsidR="00E30B64" w:rsidRPr="00E30B64">
        <w:t>Xu</w:t>
      </w:r>
      <w:proofErr w:type="spellEnd"/>
      <w:r w:rsidR="00E30B64" w:rsidRPr="00E30B64">
        <w:t xml:space="preserve"> (2023) y Yin et al. (2023) respaldan esta idea. Además, algunas propuestas recientes sugieren que las métricas de circularidad bien elaboradas podrían impulsar la inversión en ESG de forma más real y efectiva, evitando prácticas de greenwashing. Este punto es abordado por </w:t>
      </w:r>
      <w:proofErr w:type="spellStart"/>
      <w:r w:rsidR="00E30B64" w:rsidRPr="00E30B64">
        <w:t>Munonye</w:t>
      </w:r>
      <w:proofErr w:type="spellEnd"/>
      <w:r w:rsidR="00E30B64" w:rsidRPr="00E30B64">
        <w:t xml:space="preserve"> y </w:t>
      </w:r>
      <w:proofErr w:type="spellStart"/>
      <w:r w:rsidR="00E30B64" w:rsidRPr="00E30B64">
        <w:t>Munonye</w:t>
      </w:r>
      <w:proofErr w:type="spellEnd"/>
      <w:r w:rsidR="00E30B64" w:rsidRPr="00E30B64">
        <w:t xml:space="preserve"> (2026).</w:t>
      </w:r>
      <w:r w:rsidR="00E30B64">
        <w:t xml:space="preserve"> </w:t>
      </w:r>
    </w:p>
    <w:p w14:paraId="6F7B2887" w14:textId="374AEE6E" w:rsidR="00782ED0" w:rsidRDefault="00D315A1">
      <w:pPr>
        <w:ind w:firstLine="720"/>
        <w:jc w:val="both"/>
      </w:pPr>
      <w:r>
        <w:t>Como problemática base en</w:t>
      </w:r>
      <w:r w:rsidR="00B33546" w:rsidRPr="00B33546">
        <w:t xml:space="preserve"> la literatura</w:t>
      </w:r>
      <w:r>
        <w:t>, está</w:t>
      </w:r>
      <w:r w:rsidR="00B33546" w:rsidRPr="00B33546">
        <w:t xml:space="preserve"> la divergencia </w:t>
      </w:r>
      <w:r>
        <w:t>reflejada en las</w:t>
      </w:r>
      <w:r w:rsidR="00B33546" w:rsidRPr="00B33546">
        <w:t xml:space="preserve"> calificaciones ESG. </w:t>
      </w:r>
      <w:r>
        <w:t>Por ende</w:t>
      </w:r>
      <w:r w:rsidR="00B33546" w:rsidRPr="00B33546">
        <w:t xml:space="preserve">, Berg et al. (2022) </w:t>
      </w:r>
      <w:r>
        <w:t>mostraron de tal forma en la que la</w:t>
      </w:r>
      <w:r w:rsidR="00B33546" w:rsidRPr="00B33546">
        <w:t xml:space="preserve"> empresa puede ser calificada </w:t>
      </w:r>
      <w:r w:rsidR="00B33546" w:rsidRPr="00B33546">
        <w:lastRenderedPageBreak/>
        <w:t>diferente</w:t>
      </w:r>
      <w:r>
        <w:t>mente</w:t>
      </w:r>
      <w:r w:rsidR="00B33546" w:rsidRPr="00B33546">
        <w:t xml:space="preserve"> por</w:t>
      </w:r>
      <w:r>
        <w:t xml:space="preserve"> otras o diversas</w:t>
      </w:r>
      <w:r w:rsidR="00B33546" w:rsidRPr="00B33546">
        <w:t xml:space="preserve"> agencias, </w:t>
      </w:r>
      <w:r>
        <w:t>haciendo que la</w:t>
      </w:r>
      <w:r w:rsidR="00B33546" w:rsidRPr="00B33546">
        <w:t xml:space="preserve"> comparabilidad </w:t>
      </w:r>
      <w:r>
        <w:t>sea</w:t>
      </w:r>
      <w:r w:rsidR="00B33546" w:rsidRPr="00B33546">
        <w:t xml:space="preserve"> </w:t>
      </w:r>
      <w:r>
        <w:t>disminuida y en conjunto</w:t>
      </w:r>
      <w:r w:rsidR="00B33546" w:rsidRPr="00B33546">
        <w:t xml:space="preserve"> la credibilidad, </w:t>
      </w:r>
      <w:r>
        <w:t>facilitando el proceso de</w:t>
      </w:r>
      <w:r w:rsidR="00B33546" w:rsidRPr="00B33546">
        <w:t xml:space="preserve"> greenwashin</w:t>
      </w:r>
      <w:r>
        <w:t>g y con dicho</w:t>
      </w:r>
      <w:r w:rsidR="00B33546" w:rsidRPr="00B33546">
        <w:t xml:space="preserve"> argumento </w:t>
      </w:r>
      <w:r>
        <w:t>se finiquita</w:t>
      </w:r>
      <w:r w:rsidR="00B33546" w:rsidRPr="00B33546">
        <w:t xml:space="preserve"> la discusión </w:t>
      </w:r>
      <w:r>
        <w:t>para la presente</w:t>
      </w:r>
      <w:r w:rsidR="00B33546" w:rsidRPr="00B33546">
        <w:t xml:space="preserve"> revisión: si las métricas ESG dependen de datos, hoy en día autorreportados y difícilmente verificables, el pasaporte digital de producto y la contabilidad de carbono trazable no son meras herramientas circulares, son la posible infraestructura de verificación que los marcos ESG requerirían para lograr credibilidad. </w:t>
      </w:r>
    </w:p>
    <w:p w14:paraId="6B5F4D3A" w14:textId="77777777" w:rsidR="00EF1C33" w:rsidRDefault="00000000">
      <w:pPr>
        <w:pStyle w:val="Ttulo1"/>
      </w:pPr>
      <w:r>
        <w:t>Discusión</w:t>
      </w:r>
    </w:p>
    <w:p w14:paraId="1B1E1B90" w14:textId="0A75468C" w:rsidR="00B33546" w:rsidRDefault="009A25BF">
      <w:pPr>
        <w:ind w:firstLine="720"/>
        <w:jc w:val="both"/>
      </w:pPr>
      <w:r>
        <w:t>Durante el proceso de validar y realizar la respectiva comparación tanto</w:t>
      </w:r>
      <w:r w:rsidR="00B33546" w:rsidRPr="00B33546">
        <w:t xml:space="preserve"> entre el marco conceptual </w:t>
      </w:r>
      <w:r>
        <w:t xml:space="preserve">y el </w:t>
      </w:r>
      <w:r w:rsidR="00B33546" w:rsidRPr="00B33546">
        <w:t>estado actual del campo</w:t>
      </w:r>
      <w:r>
        <w:t>, sucede</w:t>
      </w:r>
      <w:r w:rsidR="00B33546" w:rsidRPr="00B33546">
        <w:t xml:space="preserve"> una paradoja</w:t>
      </w:r>
      <w:r>
        <w:t xml:space="preserve"> y entonces esto se traduce en que, desde</w:t>
      </w:r>
      <w:r w:rsidR="00B33546" w:rsidRPr="00B33546">
        <w:t xml:space="preserve"> hace más de una década, el marco teórico de la economía circular y la cadena de suministro verde </w:t>
      </w:r>
      <w:r>
        <w:t>están</w:t>
      </w:r>
      <w:r w:rsidR="00B33546" w:rsidRPr="00B33546">
        <w:t xml:space="preserve"> </w:t>
      </w:r>
      <w:r>
        <w:t>establecidas de buena manera a partir de elaborados previos</w:t>
      </w:r>
      <w:r w:rsidR="00B33546" w:rsidRPr="00B33546">
        <w:t xml:space="preserve"> </w:t>
      </w:r>
      <w:r>
        <w:t>de</w:t>
      </w:r>
      <w:r w:rsidR="00B33546" w:rsidRPr="00B33546">
        <w:t xml:space="preserve"> Srivastava (2007) y </w:t>
      </w:r>
      <w:proofErr w:type="spellStart"/>
      <w:r w:rsidR="00B33546" w:rsidRPr="00B33546">
        <w:t>Geissdoerfer</w:t>
      </w:r>
      <w:proofErr w:type="spellEnd"/>
      <w:r w:rsidR="00B33546" w:rsidRPr="00B33546">
        <w:t xml:space="preserve"> et al. (2017). </w:t>
      </w:r>
      <w:r>
        <w:t>Aunque</w:t>
      </w:r>
      <w:r w:rsidR="00B33546" w:rsidRPr="00B33546">
        <w:t xml:space="preserve">, </w:t>
      </w:r>
      <w:r>
        <w:t xml:space="preserve">en términos de </w:t>
      </w:r>
      <w:r w:rsidR="00B33546" w:rsidRPr="00B33546">
        <w:t xml:space="preserve">implementación práctica y medible </w:t>
      </w:r>
      <w:r>
        <w:t>aún existe</w:t>
      </w:r>
      <w:r w:rsidR="00B33546" w:rsidRPr="00B33546">
        <w:t xml:space="preserve"> </w:t>
      </w:r>
      <w:r>
        <w:t xml:space="preserve">en mayoría </w:t>
      </w:r>
      <w:r w:rsidR="00B33546" w:rsidRPr="00B33546">
        <w:t xml:space="preserve">la excepción </w:t>
      </w:r>
      <w:r>
        <w:t>a</w:t>
      </w:r>
      <w:r w:rsidR="00B33546" w:rsidRPr="00B33546">
        <w:t xml:space="preserve"> la regla</w:t>
      </w:r>
      <w:r>
        <w:t xml:space="preserve"> conllevando a que </w:t>
      </w:r>
      <w:r w:rsidR="00B33546" w:rsidRPr="00B33546">
        <w:t>literatura</w:t>
      </w:r>
      <w:r>
        <w:t xml:space="preserve"> actualmente</w:t>
      </w:r>
      <w:r w:rsidR="00B33546" w:rsidRPr="00B33546">
        <w:t xml:space="preserve"> no</w:t>
      </w:r>
      <w:r>
        <w:t xml:space="preserve"> contribuya a numerosos</w:t>
      </w:r>
      <w:r w:rsidR="00B33546" w:rsidRPr="00B33546">
        <w:t xml:space="preserve"> conceptos innovadores</w:t>
      </w:r>
      <w:r>
        <w:t>, s</w:t>
      </w:r>
      <w:r w:rsidR="00B33546" w:rsidRPr="00B33546">
        <w:t xml:space="preserve">ino que </w:t>
      </w:r>
      <w:r>
        <w:t>fija</w:t>
      </w:r>
      <w:r w:rsidR="00B33546" w:rsidRPr="00B33546">
        <w:t xml:space="preserve"> la dificultad de aplicar </w:t>
      </w:r>
      <w:r>
        <w:t>esto</w:t>
      </w:r>
      <w:r w:rsidR="00B33546" w:rsidRPr="00B33546">
        <w:t xml:space="preserve"> conceptos </w:t>
      </w:r>
      <w:r>
        <w:t>para la</w:t>
      </w:r>
      <w:r w:rsidR="00B33546" w:rsidRPr="00B33546">
        <w:t xml:space="preserve"> práctica.</w:t>
      </w:r>
    </w:p>
    <w:p w14:paraId="3F8AF588" w14:textId="3DD041E6" w:rsidR="00B33546" w:rsidRDefault="00AC4077">
      <w:pPr>
        <w:ind w:firstLine="720"/>
        <w:jc w:val="both"/>
      </w:pPr>
      <w:r>
        <w:t>Por medio de esta</w:t>
      </w:r>
      <w:r w:rsidR="00B33546" w:rsidRPr="00B33546">
        <w:t xml:space="preserve"> paradoja</w:t>
      </w:r>
      <w:r>
        <w:t>, se pasa con</w:t>
      </w:r>
      <w:r w:rsidR="00B33546" w:rsidRPr="00B33546">
        <w:t xml:space="preserve"> la pri</w:t>
      </w:r>
      <w:r>
        <w:t>ncipal</w:t>
      </w:r>
      <w:r w:rsidR="00B33546" w:rsidRPr="00B33546">
        <w:t xml:space="preserve"> tendencia </w:t>
      </w:r>
      <w:r>
        <w:t>la cual sugiere que</w:t>
      </w:r>
      <w:r w:rsidR="00B33546" w:rsidRPr="00B33546">
        <w:t xml:space="preserve"> la digitalización </w:t>
      </w:r>
      <w:r>
        <w:t>sea un</w:t>
      </w:r>
      <w:r w:rsidR="00B33546" w:rsidRPr="00B33546">
        <w:t xml:space="preserve"> mecanismo de verificación.</w:t>
      </w:r>
      <w:r>
        <w:t xml:space="preserve"> Para</w:t>
      </w:r>
      <w:r w:rsidR="00B33546" w:rsidRPr="00B33546">
        <w:t xml:space="preserve"> los cinco ejes, tanto el pasaporte digital de producto </w:t>
      </w:r>
      <w:r>
        <w:t>y</w:t>
      </w:r>
      <w:r w:rsidR="00B33546" w:rsidRPr="00B33546">
        <w:t xml:space="preserve"> la contabilidad de carbono se </w:t>
      </w:r>
      <w:r>
        <w:t>reflejan</w:t>
      </w:r>
      <w:r w:rsidR="00B33546" w:rsidRPr="00B33546">
        <w:t xml:space="preserve"> </w:t>
      </w:r>
      <w:r>
        <w:t>muchas veces</w:t>
      </w:r>
      <w:r w:rsidR="00B33546" w:rsidRPr="00B33546">
        <w:t xml:space="preserve"> como </w:t>
      </w:r>
      <w:r>
        <w:t>ese</w:t>
      </w:r>
      <w:r w:rsidR="00B33546" w:rsidRPr="00B33546">
        <w:t xml:space="preserve"> eslabón </w:t>
      </w:r>
      <w:r>
        <w:t>vital</w:t>
      </w:r>
      <w:r w:rsidR="00B33546" w:rsidRPr="00B33546">
        <w:t xml:space="preserve"> que</w:t>
      </w:r>
      <w:r>
        <w:t xml:space="preserve"> pretende</w:t>
      </w:r>
      <w:r w:rsidR="00B33546" w:rsidRPr="00B33546">
        <w:t xml:space="preserve"> </w:t>
      </w:r>
      <w:r>
        <w:t>convertir</w:t>
      </w:r>
      <w:r w:rsidR="00B33546" w:rsidRPr="00B33546">
        <w:t xml:space="preserve"> las declaraciones en indicadores que </w:t>
      </w:r>
      <w:r>
        <w:t>logren ser objeto</w:t>
      </w:r>
      <w:r w:rsidR="00B33546" w:rsidRPr="00B33546">
        <w:t xml:space="preserve"> de auditoría.</w:t>
      </w:r>
      <w:r>
        <w:t xml:space="preserve"> Entonces</w:t>
      </w:r>
      <w:r w:rsidR="00B33546" w:rsidRPr="00B33546">
        <w:t xml:space="preserve"> considera</w:t>
      </w:r>
      <w:r>
        <w:t>ndo</w:t>
      </w:r>
      <w:r w:rsidR="00B33546" w:rsidRPr="00B33546">
        <w:t xml:space="preserve"> esto, </w:t>
      </w:r>
      <w:r>
        <w:t>es posible obtener</w:t>
      </w:r>
      <w:r w:rsidR="00B33546" w:rsidRPr="00B33546">
        <w:t xml:space="preserve"> una perspectiva di</w:t>
      </w:r>
      <w:r>
        <w:t>versa</w:t>
      </w:r>
      <w:r w:rsidR="00B33546" w:rsidRPr="00B33546">
        <w:t xml:space="preserve"> del campo</w:t>
      </w:r>
      <w:r>
        <w:t xml:space="preserve"> debido a que</w:t>
      </w:r>
      <w:r w:rsidR="00B33546" w:rsidRPr="00B33546">
        <w:t xml:space="preserve"> la economía circular </w:t>
      </w:r>
      <w:r>
        <w:t>dispone</w:t>
      </w:r>
      <w:r w:rsidR="00B33546" w:rsidRPr="00B33546">
        <w:t xml:space="preserve"> la estrategia. </w:t>
      </w:r>
      <w:r>
        <w:t>Ahora l</w:t>
      </w:r>
      <w:r w:rsidR="00B33546" w:rsidRPr="00B33546">
        <w:t xml:space="preserve">a cadena verde </w:t>
      </w:r>
      <w:r>
        <w:t xml:space="preserve">va poder </w:t>
      </w:r>
      <w:r w:rsidR="00B33546" w:rsidRPr="00B33546">
        <w:t>ofrece</w:t>
      </w:r>
      <w:r>
        <w:t>r</w:t>
      </w:r>
      <w:r w:rsidR="00B33546" w:rsidRPr="00B33546">
        <w:t xml:space="preserve"> el alcance</w:t>
      </w:r>
      <w:r>
        <w:t xml:space="preserve"> y</w:t>
      </w:r>
      <w:r w:rsidR="00B33546" w:rsidRPr="00B33546">
        <w:t xml:space="preserve"> </w:t>
      </w:r>
      <w:r>
        <w:t xml:space="preserve">el </w:t>
      </w:r>
      <w:r w:rsidR="00B33546" w:rsidRPr="00B33546">
        <w:t xml:space="preserve">ESG </w:t>
      </w:r>
      <w:r>
        <w:t>aportaría</w:t>
      </w:r>
      <w:r w:rsidR="00B33546" w:rsidRPr="00B33546">
        <w:t xml:space="preserve"> </w:t>
      </w:r>
      <w:r>
        <w:t>al</w:t>
      </w:r>
      <w:r w:rsidR="00B33546" w:rsidRPr="00B33546">
        <w:t xml:space="preserve"> marco de evaluación y la trazabilidad digital </w:t>
      </w:r>
      <w:r>
        <w:t>que proporcionaría</w:t>
      </w:r>
      <w:r w:rsidR="00B33546" w:rsidRPr="00B33546">
        <w:t xml:space="preserve"> la prueba.</w:t>
      </w:r>
    </w:p>
    <w:p w14:paraId="78BD182E" w14:textId="4E1363A2" w:rsidR="00B33546" w:rsidRDefault="00AC4077">
      <w:pPr>
        <w:ind w:firstLine="720"/>
        <w:jc w:val="both"/>
      </w:pPr>
      <w:r>
        <w:lastRenderedPageBreak/>
        <w:t xml:space="preserve">Ante la </w:t>
      </w:r>
      <w:r w:rsidR="00B33546" w:rsidRPr="00B33546">
        <w:t>segunda tendencia</w:t>
      </w:r>
      <w:r>
        <w:t>, esta se</w:t>
      </w:r>
      <w:r w:rsidR="00B33546" w:rsidRPr="00B33546">
        <w:t xml:space="preserve"> centra</w:t>
      </w:r>
      <w:r>
        <w:t xml:space="preserve"> con</w:t>
      </w:r>
      <w:r w:rsidR="00B33546" w:rsidRPr="00B33546">
        <w:t xml:space="preserve"> </w:t>
      </w:r>
      <w:r>
        <w:t xml:space="preserve">el </w:t>
      </w:r>
      <w:r w:rsidR="00B33546" w:rsidRPr="00B33546">
        <w:t>desplazamiento del enfoque hacia el alcance 3 y la cadena ampliada</w:t>
      </w:r>
      <w:r w:rsidR="008302DD">
        <w:t xml:space="preserve"> debido a </w:t>
      </w:r>
      <w:r w:rsidR="00B33546" w:rsidRPr="00B33546">
        <w:t>que la mayor parte del impacto</w:t>
      </w:r>
      <w:r w:rsidR="008302DD">
        <w:t xml:space="preserve"> es</w:t>
      </w:r>
      <w:r w:rsidR="00B33546" w:rsidRPr="00B33546">
        <w:t xml:space="preserve"> produ</w:t>
      </w:r>
      <w:r w:rsidR="008302DD">
        <w:t>cido mucho</w:t>
      </w:r>
      <w:r w:rsidR="00B33546" w:rsidRPr="00B33546">
        <w:t xml:space="preserve"> más allá de las fronteras directas de la empresa</w:t>
      </w:r>
      <w:r w:rsidR="008302DD">
        <w:t xml:space="preserve"> con lo que </w:t>
      </w:r>
      <w:r w:rsidR="00B33546" w:rsidRPr="00B33546">
        <w:t>Según Hertwich y Wood (2018)</w:t>
      </w:r>
      <w:r w:rsidR="008302DD">
        <w:t xml:space="preserve"> establecieron</w:t>
      </w:r>
      <w:r w:rsidR="00B33546" w:rsidRPr="00B33546">
        <w:t>.</w:t>
      </w:r>
      <w:r w:rsidR="008302DD">
        <w:t xml:space="preserve"> En la</w:t>
      </w:r>
      <w:r w:rsidR="00B33546" w:rsidRPr="00B33546">
        <w:t xml:space="preserve"> sostenibilidad</w:t>
      </w:r>
      <w:r w:rsidR="008302DD">
        <w:t>, la cual</w:t>
      </w:r>
      <w:r w:rsidR="00B33546" w:rsidRPr="00B33546">
        <w:t xml:space="preserve"> trasciende </w:t>
      </w:r>
      <w:r w:rsidR="008302DD">
        <w:t xml:space="preserve">para el </w:t>
      </w:r>
      <w:r w:rsidR="00B33546" w:rsidRPr="00B33546">
        <w:t>ámbito interno de la fábrica</w:t>
      </w:r>
      <w:r w:rsidR="008302DD">
        <w:t xml:space="preserve"> por lo que</w:t>
      </w:r>
      <w:r w:rsidR="00BC1321">
        <w:t xml:space="preserve"> l</w:t>
      </w:r>
      <w:r w:rsidR="00B33546" w:rsidRPr="00B33546">
        <w:t xml:space="preserve">a sostenibilidad </w:t>
      </w:r>
      <w:r w:rsidR="008302DD">
        <w:t>va depender</w:t>
      </w:r>
      <w:r w:rsidR="00B33546" w:rsidRPr="00B33546">
        <w:t xml:space="preserve"> de la cooperación y la calidad de la información compartida entre los socios</w:t>
      </w:r>
      <w:r w:rsidR="008302DD">
        <w:t>, señalando</w:t>
      </w:r>
      <w:r w:rsidR="00B33546" w:rsidRPr="00B33546">
        <w:t xml:space="preserve"> la importancia de la interoperabilid</w:t>
      </w:r>
      <w:r w:rsidR="00BC1321">
        <w:t>ad</w:t>
      </w:r>
      <w:r w:rsidR="008302DD">
        <w:t xml:space="preserve"> y que mediante tal</w:t>
      </w:r>
      <w:r w:rsidR="00B33546" w:rsidRPr="00B33546">
        <w:t xml:space="preserve"> situación </w:t>
      </w:r>
      <w:r w:rsidR="008302DD">
        <w:t>se</w:t>
      </w:r>
      <w:r w:rsidR="00B33546" w:rsidRPr="00B33546">
        <w:t xml:space="preserve"> revela que la falta de estándares comunes es</w:t>
      </w:r>
      <w:r w:rsidR="00BC1321">
        <w:t xml:space="preserve"> </w:t>
      </w:r>
      <w:r w:rsidR="008302DD">
        <w:t>actualmente</w:t>
      </w:r>
      <w:r w:rsidR="00BC1321">
        <w:t xml:space="preserve"> e</w:t>
      </w:r>
      <w:r w:rsidR="00B33546" w:rsidRPr="00B33546">
        <w:t>l principal obstáculo técnico.</w:t>
      </w:r>
    </w:p>
    <w:p w14:paraId="5B8D17C8" w14:textId="60DDA76D" w:rsidR="00BC1321" w:rsidRDefault="008302DD">
      <w:pPr>
        <w:ind w:firstLine="720"/>
        <w:jc w:val="both"/>
      </w:pPr>
      <w:r>
        <w:t>De lo anterior, los v</w:t>
      </w:r>
      <w:r w:rsidR="00BC1321" w:rsidRPr="00BC1321">
        <w:t xml:space="preserve">acíos </w:t>
      </w:r>
      <w:r>
        <w:t>en</w:t>
      </w:r>
      <w:r w:rsidR="00BC1321" w:rsidRPr="00BC1321">
        <w:t xml:space="preserve"> investigación </w:t>
      </w:r>
      <w:r>
        <w:t xml:space="preserve">pueden ser coherentes ya </w:t>
      </w:r>
      <w:proofErr w:type="gramStart"/>
      <w:r>
        <w:t>que</w:t>
      </w:r>
      <w:proofErr w:type="gramEnd"/>
      <w:r>
        <w:t xml:space="preserve"> e</w:t>
      </w:r>
      <w:r w:rsidR="00BC1321" w:rsidRPr="00BC1321">
        <w:t xml:space="preserve">n primer lugar, </w:t>
      </w:r>
      <w:r>
        <w:t>hay</w:t>
      </w:r>
      <w:r w:rsidR="00BC1321" w:rsidRPr="00BC1321">
        <w:t xml:space="preserve"> escasez de evidencia empírica a nivel de planta </w:t>
      </w:r>
      <w:r>
        <w:t xml:space="preserve">en cuanto al </w:t>
      </w:r>
      <w:r w:rsidR="00BC1321" w:rsidRPr="00BC1321">
        <w:t>pasaporte digital de</w:t>
      </w:r>
      <w:r>
        <w:t xml:space="preserve">l </w:t>
      </w:r>
      <w:r w:rsidR="00BC1321" w:rsidRPr="00BC1321">
        <w:t>producto</w:t>
      </w:r>
      <w:r>
        <w:t xml:space="preserve"> debido a que</w:t>
      </w:r>
      <w:r w:rsidR="00BC1321" w:rsidRPr="00BC1321">
        <w:t xml:space="preserve"> predominan los marcos conceptuales y las pruebas de concepto. </w:t>
      </w:r>
      <w:r>
        <w:t xml:space="preserve">Entonces en </w:t>
      </w:r>
      <w:r w:rsidR="00BC1321" w:rsidRPr="00BC1321">
        <w:t xml:space="preserve">segundo lugar, se </w:t>
      </w:r>
      <w:r>
        <w:t>pone de menos</w:t>
      </w:r>
      <w:r w:rsidR="00BC1321" w:rsidRPr="00BC1321">
        <w:t xml:space="preserve"> </w:t>
      </w:r>
      <w:r>
        <w:t xml:space="preserve">la falta de </w:t>
      </w:r>
      <w:r w:rsidR="00BC1321" w:rsidRPr="00BC1321">
        <w:t xml:space="preserve">investigación que </w:t>
      </w:r>
      <w:r>
        <w:t>pongan</w:t>
      </w:r>
      <w:r w:rsidR="00BC1321" w:rsidRPr="00BC1321">
        <w:t xml:space="preserve"> una conexión directa entre la trazabilidad digital y la credibilidad de las calificaciones ESG, </w:t>
      </w:r>
      <w:r>
        <w:t>aun s</w:t>
      </w:r>
      <w:r w:rsidR="00BC1321" w:rsidRPr="00BC1321">
        <w:t xml:space="preserve"> la lógica </w:t>
      </w:r>
      <w:r>
        <w:t>recomiende</w:t>
      </w:r>
      <w:r w:rsidR="00BC1321" w:rsidRPr="00BC1321">
        <w:t xml:space="preserve"> una relación estrecha. </w:t>
      </w:r>
      <w:r>
        <w:t>Como</w:t>
      </w:r>
      <w:r w:rsidR="00BC1321" w:rsidRPr="00BC1321">
        <w:t xml:space="preserve"> tercer lugar, </w:t>
      </w:r>
      <w:r>
        <w:t xml:space="preserve">está </w:t>
      </w:r>
      <w:r w:rsidR="00BC1321" w:rsidRPr="00BC1321">
        <w:t>la dimensión social del desempeño sostenible</w:t>
      </w:r>
      <w:r>
        <w:t xml:space="preserve"> q</w:t>
      </w:r>
      <w:r w:rsidR="00BC1321" w:rsidRPr="00BC1321">
        <w:t xml:space="preserve">ue </w:t>
      </w:r>
      <w:r>
        <w:t>aborda</w:t>
      </w:r>
      <w:r w:rsidR="00BC1321" w:rsidRPr="00BC1321">
        <w:t xml:space="preserve"> condiciones laborales e impacto comunitario</w:t>
      </w:r>
      <w:r>
        <w:t xml:space="preserve"> y</w:t>
      </w:r>
      <w:r w:rsidR="00BC1321" w:rsidRPr="00BC1321">
        <w:t xml:space="preserve"> subrepresentada </w:t>
      </w:r>
      <w:r>
        <w:t>comparativamente</w:t>
      </w:r>
      <w:r w:rsidR="00BC1321" w:rsidRPr="00BC1321">
        <w:t xml:space="preserve"> con la dimensión ambiental, </w:t>
      </w:r>
      <w:r>
        <w:t>que crea</w:t>
      </w:r>
      <w:r w:rsidR="00BC1321" w:rsidRPr="00BC1321">
        <w:t xml:space="preserve"> un sesgo histórico del campo.</w:t>
      </w:r>
      <w:r w:rsidR="00BC1321">
        <w:t xml:space="preserve"> </w:t>
      </w:r>
      <w:r>
        <w:t>Finalmente</w:t>
      </w:r>
      <w:r w:rsidR="00BC1321" w:rsidRPr="00BC1321">
        <w:t>, pocos estudios examinan el costo y la huella de la propia infraestructura digital.</w:t>
      </w:r>
    </w:p>
    <w:p w14:paraId="21ECC6C3" w14:textId="1AC89610" w:rsidR="00BC1321" w:rsidRDefault="008302DD">
      <w:pPr>
        <w:ind w:firstLine="720"/>
        <w:jc w:val="both"/>
      </w:pPr>
      <w:r>
        <w:t>Se considera hasta este punto</w:t>
      </w:r>
      <w:r w:rsidR="00BC1321" w:rsidRPr="00BC1321">
        <w:t xml:space="preserve"> conveniente incluir una advertencia </w:t>
      </w:r>
      <w:r>
        <w:t xml:space="preserve">vital siendo que </w:t>
      </w:r>
      <w:r w:rsidR="00BC1321" w:rsidRPr="008302DD">
        <w:rPr>
          <w:i/>
          <w:iCs/>
        </w:rPr>
        <w:t>la digitalización no es neutral ni asegura por sí sola una mayor sostenibilidad</w:t>
      </w:r>
      <w:r w:rsidR="000A06E9">
        <w:t>, donde</w:t>
      </w:r>
      <w:r w:rsidR="00BC1321" w:rsidRPr="00BC1321">
        <w:t xml:space="preserve"> los datos del pasaporte digital o </w:t>
      </w:r>
      <w:r w:rsidR="000A06E9">
        <w:t>en</w:t>
      </w:r>
      <w:r w:rsidR="00BC1321" w:rsidRPr="00BC1321">
        <w:t xml:space="preserve"> la huella de carbono se </w:t>
      </w:r>
      <w:r w:rsidR="000A06E9">
        <w:t>reporten por si solo</w:t>
      </w:r>
      <w:r w:rsidR="00BC1321" w:rsidRPr="00BC1321">
        <w:t xml:space="preserve"> sin verificación independiente. </w:t>
      </w:r>
      <w:r w:rsidR="000A06E9">
        <w:t>Con ello l</w:t>
      </w:r>
      <w:r w:rsidR="00BC1321" w:rsidRPr="00BC1321">
        <w:t>a trazabilidad</w:t>
      </w:r>
      <w:r w:rsidR="000A06E9">
        <w:t xml:space="preserve"> se</w:t>
      </w:r>
      <w:r w:rsidR="00BC1321" w:rsidRPr="00BC1321">
        <w:t xml:space="preserve"> </w:t>
      </w:r>
      <w:r w:rsidR="000A06E9">
        <w:t>transformaría</w:t>
      </w:r>
      <w:r w:rsidR="00BC1321" w:rsidRPr="00BC1321">
        <w:t xml:space="preserve"> en una nueva capa de greenwashing</w:t>
      </w:r>
      <w:r w:rsidR="000A06E9">
        <w:t>, pero</w:t>
      </w:r>
      <w:r w:rsidR="00BC1321" w:rsidRPr="00BC1321">
        <w:t xml:space="preserve"> disfrazada de </w:t>
      </w:r>
      <w:r w:rsidR="000A06E9">
        <w:t xml:space="preserve">solo </w:t>
      </w:r>
      <w:r w:rsidR="00BC1321" w:rsidRPr="00BC1321">
        <w:t>objetividad técnica.</w:t>
      </w:r>
      <w:r w:rsidR="000A06E9">
        <w:t xml:space="preserve"> De igual forma</w:t>
      </w:r>
      <w:r w:rsidR="00BC1321" w:rsidRPr="00BC1321">
        <w:t>,</w:t>
      </w:r>
      <w:r w:rsidR="000A06E9">
        <w:t xml:space="preserve"> existe</w:t>
      </w:r>
      <w:r w:rsidR="00BC1321" w:rsidRPr="00BC1321">
        <w:t xml:space="preserve"> una tensión </w:t>
      </w:r>
      <w:r w:rsidR="000A06E9">
        <w:t>no</w:t>
      </w:r>
      <w:r w:rsidR="00BC1321" w:rsidRPr="00BC1321">
        <w:t xml:space="preserve"> re</w:t>
      </w:r>
      <w:r w:rsidR="000A06E9">
        <w:t>suelta</w:t>
      </w:r>
      <w:r w:rsidR="00BC1321" w:rsidRPr="00BC1321">
        <w:t xml:space="preserve"> entre la estandarización y el contexto</w:t>
      </w:r>
      <w:r w:rsidR="000A06E9">
        <w:t xml:space="preserve"> por lo que </w:t>
      </w:r>
      <w:r w:rsidR="00BC1321" w:rsidRPr="00BC1321">
        <w:t xml:space="preserve">las </w:t>
      </w:r>
      <w:proofErr w:type="gramStart"/>
      <w:r w:rsidR="00BC1321" w:rsidRPr="00BC1321">
        <w:t>m</w:t>
      </w:r>
      <w:r w:rsidR="000A06E9">
        <w:t>edida</w:t>
      </w:r>
      <w:r w:rsidR="00BC1321" w:rsidRPr="00BC1321">
        <w:t xml:space="preserve"> comparables</w:t>
      </w:r>
      <w:proofErr w:type="gramEnd"/>
      <w:r w:rsidR="00BC1321" w:rsidRPr="00BC1321">
        <w:t xml:space="preserve"> que demandan los inversionistas y los reguladores entran en </w:t>
      </w:r>
      <w:r w:rsidR="000A06E9">
        <w:t>discusión</w:t>
      </w:r>
      <w:r w:rsidR="00BC1321" w:rsidRPr="00BC1321">
        <w:t xml:space="preserve"> con la diversidad de procesos.</w:t>
      </w:r>
    </w:p>
    <w:p w14:paraId="1ECD170F" w14:textId="2ACC551E" w:rsidR="00BC1321" w:rsidRDefault="000A06E9" w:rsidP="00BC1321">
      <w:pPr>
        <w:ind w:firstLine="720"/>
        <w:jc w:val="both"/>
      </w:pPr>
      <w:r>
        <w:lastRenderedPageBreak/>
        <w:t xml:space="preserve">Como </w:t>
      </w:r>
      <w:r w:rsidR="00BC1321" w:rsidRPr="00BC1321">
        <w:t xml:space="preserve">evidencia </w:t>
      </w:r>
      <w:r>
        <w:t>validada, se</w:t>
      </w:r>
      <w:r w:rsidR="00BC1321" w:rsidRPr="00BC1321">
        <w:t xml:space="preserve"> indica </w:t>
      </w:r>
      <w:r>
        <w:t xml:space="preserve">de tal manera que el </w:t>
      </w:r>
      <w:r w:rsidR="00BC1321" w:rsidRPr="00BC1321">
        <w:t xml:space="preserve">valor de estas herramientas </w:t>
      </w:r>
      <w:r>
        <w:t>inicia</w:t>
      </w:r>
      <w:r w:rsidR="00BC1321" w:rsidRPr="00BC1321">
        <w:t xml:space="preserve"> en la estructura que </w:t>
      </w:r>
      <w:r>
        <w:t>expone</w:t>
      </w:r>
      <w:r w:rsidR="00BC1321" w:rsidRPr="00BC1321">
        <w:t xml:space="preserve"> </w:t>
      </w:r>
      <w:r>
        <w:t>el</w:t>
      </w:r>
      <w:r w:rsidR="00BC1321" w:rsidRPr="00BC1321">
        <w:t xml:space="preserve"> dato</w:t>
      </w:r>
      <w:r>
        <w:t>, m</w:t>
      </w:r>
      <w:r w:rsidR="00BC1321" w:rsidRPr="00BC1321">
        <w:t xml:space="preserve">ás que en </w:t>
      </w:r>
      <w:r>
        <w:t>ese solo dato</w:t>
      </w:r>
      <w:r w:rsidR="00BC1321" w:rsidRPr="00BC1321">
        <w:t xml:space="preserve">. </w:t>
      </w:r>
      <w:r>
        <w:t>Por ende, e</w:t>
      </w:r>
      <w:r w:rsidR="00BC1321" w:rsidRPr="00BC1321">
        <w:t xml:space="preserve">l valor de estas herramientas está </w:t>
      </w:r>
      <w:r>
        <w:t>enlazado</w:t>
      </w:r>
      <w:r w:rsidR="00BC1321" w:rsidRPr="00BC1321">
        <w:t xml:space="preserve"> a la gestión del dato</w:t>
      </w:r>
      <w:r>
        <w:t xml:space="preserve">, </w:t>
      </w:r>
      <w:r w:rsidR="00BC1321" w:rsidRPr="00BC1321">
        <w:t>comprend</w:t>
      </w:r>
      <w:r>
        <w:t>iendo</w:t>
      </w:r>
      <w:r w:rsidR="00BC1321" w:rsidRPr="00BC1321">
        <w:t xml:space="preserve"> aspectos como quién es el responsable de generar el dato</w:t>
      </w:r>
      <w:r>
        <w:t>, q</w:t>
      </w:r>
      <w:r w:rsidR="00BC1321" w:rsidRPr="00BC1321">
        <w:t xml:space="preserve">uién realiza la auditoría y </w:t>
      </w:r>
      <w:r>
        <w:t xml:space="preserve">como </w:t>
      </w:r>
      <w:r w:rsidR="00BC1321" w:rsidRPr="00BC1321">
        <w:t>cuáles son los incentivos que impulsan estos procesos.</w:t>
      </w:r>
    </w:p>
    <w:p w14:paraId="6CD688E0" w14:textId="1E4BBEEB" w:rsidR="00BC1321" w:rsidRDefault="000A06E9" w:rsidP="004A299E">
      <w:pPr>
        <w:ind w:firstLine="720"/>
        <w:jc w:val="both"/>
      </w:pPr>
      <w:r>
        <w:t>Entonces como</w:t>
      </w:r>
      <w:r w:rsidR="00BC1321" w:rsidRPr="00BC1321">
        <w:t xml:space="preserve"> resultado</w:t>
      </w:r>
      <w:r>
        <w:t>s,</w:t>
      </w:r>
      <w:r w:rsidR="00BC1321" w:rsidRPr="00BC1321">
        <w:t xml:space="preserve"> </w:t>
      </w:r>
      <w:r>
        <w:t>estos se encuentran muy</w:t>
      </w:r>
      <w:r w:rsidR="00BC1321" w:rsidRPr="00BC1321">
        <w:t xml:space="preserve"> rela</w:t>
      </w:r>
      <w:r w:rsidR="0041513B">
        <w:t>tivos</w:t>
      </w:r>
      <w:r w:rsidR="00BC1321" w:rsidRPr="00BC1321">
        <w:t xml:space="preserve"> con</w:t>
      </w:r>
      <w:r w:rsidR="0041513B">
        <w:t xml:space="preserve"> </w:t>
      </w:r>
      <w:proofErr w:type="spellStart"/>
      <w:r w:rsidR="0041513B">
        <w:t>lo</w:t>
      </w:r>
      <w:proofErr w:type="spellEnd"/>
      <w:r w:rsidR="00BC1321" w:rsidRPr="00BC1321">
        <w:t xml:space="preserve"> principios básicos de la Industria 5.0, </w:t>
      </w:r>
      <w:r w:rsidR="0041513B">
        <w:t>obtenido</w:t>
      </w:r>
      <w:r w:rsidR="00BC1321" w:rsidRPr="00BC1321">
        <w:t xml:space="preserve"> de los trabajos de </w:t>
      </w:r>
      <w:proofErr w:type="spellStart"/>
      <w:r w:rsidR="00BC1321" w:rsidRPr="00BC1321">
        <w:t>Xu</w:t>
      </w:r>
      <w:proofErr w:type="spellEnd"/>
      <w:r w:rsidR="00BC1321" w:rsidRPr="00BC1321">
        <w:t xml:space="preserve"> et al. (2021), Leng et al. (2022), </w:t>
      </w:r>
      <w:proofErr w:type="spellStart"/>
      <w:r w:rsidR="00BC1321" w:rsidRPr="00BC1321">
        <w:t>Maddikunta</w:t>
      </w:r>
      <w:proofErr w:type="spellEnd"/>
      <w:r w:rsidR="00BC1321" w:rsidRPr="00BC1321">
        <w:t xml:space="preserve"> et al. (2022) y Atif (2023). </w:t>
      </w:r>
      <w:r w:rsidR="0041513B">
        <w:t>De igual forma</w:t>
      </w:r>
      <w:r w:rsidR="00BC1321" w:rsidRPr="00BC1321">
        <w:t xml:space="preserve">, la resiliencia </w:t>
      </w:r>
      <w:r w:rsidR="0041513B">
        <w:t>esta</w:t>
      </w:r>
      <w:r w:rsidR="00BC1321" w:rsidRPr="00BC1321">
        <w:t xml:space="preserve"> fortalec</w:t>
      </w:r>
      <w:r w:rsidR="0041513B">
        <w:t>ida</w:t>
      </w:r>
      <w:r w:rsidR="00BC1321" w:rsidRPr="00BC1321">
        <w:t xml:space="preserve"> </w:t>
      </w:r>
      <w:r w:rsidR="0041513B">
        <w:t>en cuanto</w:t>
      </w:r>
      <w:r w:rsidR="00BC1321" w:rsidRPr="00BC1321">
        <w:t xml:space="preserve"> </w:t>
      </w:r>
      <w:r w:rsidR="0041513B">
        <w:t>sea</w:t>
      </w:r>
      <w:r w:rsidR="00BC1321" w:rsidRPr="00BC1321">
        <w:t xml:space="preserve"> posible reconfigurar las cadenas de suministro gracias a la trazabilidad</w:t>
      </w:r>
      <w:r w:rsidR="0041513B">
        <w:t xml:space="preserve"> que es u</w:t>
      </w:r>
      <w:r w:rsidR="00BC1321" w:rsidRPr="00BC1321">
        <w:t xml:space="preserve">n objetivo clave en la manufactura 5.0 según la literatura </w:t>
      </w:r>
      <w:r w:rsidR="0041513B">
        <w:t>actual</w:t>
      </w:r>
      <w:r w:rsidR="00BC1321" w:rsidRPr="00BC1321">
        <w:t>.</w:t>
      </w:r>
      <w:r w:rsidR="0041513B">
        <w:t xml:space="preserve"> I</w:t>
      </w:r>
      <w:r w:rsidR="00BC1321" w:rsidRPr="00BC1321">
        <w:t>ndica</w:t>
      </w:r>
      <w:r w:rsidR="0041513B">
        <w:t>do</w:t>
      </w:r>
      <w:r w:rsidR="00BC1321" w:rsidRPr="00BC1321">
        <w:t xml:space="preserve"> en Dacre et al. (2024)</w:t>
      </w:r>
      <w:r w:rsidR="0041513B">
        <w:t>,</w:t>
      </w:r>
      <w:r w:rsidR="00BC1321" w:rsidRPr="00BC1321">
        <w:t xml:space="preserve"> también se analizan las interacciones entre la economía circular y la excelencia operativa</w:t>
      </w:r>
      <w:r w:rsidR="0041513B">
        <w:t>, y</w:t>
      </w:r>
      <w:r w:rsidR="00BC1321" w:rsidRPr="00BC1321">
        <w:t xml:space="preserve"> como el papel de la Industria 4.0 en la resiliencia circular. </w:t>
      </w:r>
      <w:r w:rsidR="0041513B">
        <w:t>Con lo que s</w:t>
      </w:r>
      <w:r w:rsidR="00BC1321" w:rsidRPr="00BC1321">
        <w:t>egún se expone en Falih et al. (2026) y Sadiq et al. (2026)</w:t>
      </w:r>
      <w:r w:rsidR="0041513B">
        <w:t>, l</w:t>
      </w:r>
      <w:r w:rsidR="00BC1321" w:rsidRPr="00BC1321">
        <w:t>a consideración de la dimensión humana recuerda que detrás de cada indicador existen decisiones y trabajadores</w:t>
      </w:r>
      <w:r w:rsidR="0041513B">
        <w:t>, haciendo q</w:t>
      </w:r>
      <w:r w:rsidR="00BC1321" w:rsidRPr="00BC1321">
        <w:t xml:space="preserve">ue la automatización de la sostenibilidad no </w:t>
      </w:r>
      <w:r w:rsidR="0041513B">
        <w:t>debería</w:t>
      </w:r>
      <w:r w:rsidR="00BC1321" w:rsidRPr="00BC1321">
        <w:t xml:space="preserve"> sustituir al juicio humano ni comprometer la equidad. </w:t>
      </w:r>
    </w:p>
    <w:p w14:paraId="1206645D" w14:textId="77777777" w:rsidR="0041513B" w:rsidRDefault="0041513B" w:rsidP="004A299E">
      <w:pPr>
        <w:ind w:firstLine="720"/>
        <w:jc w:val="both"/>
      </w:pPr>
    </w:p>
    <w:p w14:paraId="666C2D5E" w14:textId="77777777" w:rsidR="0041513B" w:rsidRDefault="0041513B" w:rsidP="004A299E">
      <w:pPr>
        <w:ind w:firstLine="720"/>
        <w:jc w:val="both"/>
      </w:pPr>
    </w:p>
    <w:p w14:paraId="50E84933" w14:textId="77777777" w:rsidR="0041513B" w:rsidRDefault="0041513B" w:rsidP="004A299E">
      <w:pPr>
        <w:ind w:firstLine="720"/>
        <w:jc w:val="both"/>
      </w:pPr>
    </w:p>
    <w:p w14:paraId="77F439E7" w14:textId="77777777" w:rsidR="0041513B" w:rsidRDefault="0041513B" w:rsidP="004A299E">
      <w:pPr>
        <w:ind w:firstLine="720"/>
        <w:jc w:val="both"/>
      </w:pPr>
    </w:p>
    <w:p w14:paraId="101DA438" w14:textId="77777777" w:rsidR="0041513B" w:rsidRDefault="0041513B" w:rsidP="004A299E">
      <w:pPr>
        <w:ind w:firstLine="720"/>
        <w:jc w:val="both"/>
      </w:pPr>
    </w:p>
    <w:p w14:paraId="7A7C533B" w14:textId="77777777" w:rsidR="0041513B" w:rsidRDefault="0041513B" w:rsidP="004A299E">
      <w:pPr>
        <w:ind w:firstLine="720"/>
        <w:jc w:val="both"/>
      </w:pPr>
    </w:p>
    <w:p w14:paraId="118C48D8" w14:textId="77777777" w:rsidR="0041513B" w:rsidRDefault="0041513B" w:rsidP="004A299E">
      <w:pPr>
        <w:ind w:firstLine="720"/>
        <w:jc w:val="both"/>
      </w:pPr>
    </w:p>
    <w:p w14:paraId="3DA49098" w14:textId="77777777" w:rsidR="0041513B" w:rsidRDefault="0041513B" w:rsidP="004A299E">
      <w:pPr>
        <w:ind w:firstLine="720"/>
        <w:jc w:val="both"/>
      </w:pPr>
    </w:p>
    <w:p w14:paraId="2B481FD8" w14:textId="12A3C611" w:rsidR="00EF1C33" w:rsidRDefault="00D315A1">
      <w:pPr>
        <w:pStyle w:val="Ttulo1"/>
      </w:pPr>
      <w:r>
        <w:lastRenderedPageBreak/>
        <w:t>Aplicación</w:t>
      </w:r>
      <w:r w:rsidR="00000000">
        <w:t xml:space="preserve"> y </w:t>
      </w:r>
      <w:r>
        <w:t>C</w:t>
      </w:r>
      <w:r w:rsidR="00000000">
        <w:t xml:space="preserve">aso de </w:t>
      </w:r>
      <w:r>
        <w:t>E</w:t>
      </w:r>
      <w:r w:rsidR="00000000">
        <w:t>studio</w:t>
      </w:r>
    </w:p>
    <w:p w14:paraId="7AE6D4F5" w14:textId="0423344C" w:rsidR="00BC1321" w:rsidRDefault="00BC1321" w:rsidP="00BC1321">
      <w:pPr>
        <w:ind w:firstLine="720"/>
        <w:rPr>
          <w:b/>
          <w:bCs/>
          <w:i/>
          <w:iCs/>
        </w:rPr>
      </w:pPr>
      <w:r w:rsidRPr="00BC1321">
        <w:t xml:space="preserve">Para concluir la discusión, resulta útil examinar iniciativas prácticas con datos cuantitativos. </w:t>
      </w:r>
      <w:r w:rsidR="009A25BF">
        <w:t xml:space="preserve">De tal manera, hay dos ejemplares con el </w:t>
      </w:r>
      <w:r w:rsidRPr="00BC1321">
        <w:t xml:space="preserve">sector manufacturero, </w:t>
      </w:r>
      <w:r w:rsidR="009A25BF">
        <w:t xml:space="preserve">acompañados de </w:t>
      </w:r>
      <w:r w:rsidRPr="00BC1321">
        <w:t>una referencia. Los datos proceden de informes corporativos de sostenibilidad, por lo que es necesario verificarlos en la fuente original antes de utilizarlos.</w:t>
      </w:r>
    </w:p>
    <w:p w14:paraId="08F53E6E" w14:textId="6D4BD9E7" w:rsidR="00EF1C33" w:rsidRDefault="00000000" w:rsidP="00AC3B0F">
      <w:pPr>
        <w:pStyle w:val="Ttulo3"/>
      </w:pPr>
      <w:r>
        <w:t xml:space="preserve">Caso 1. Renault Group: </w:t>
      </w:r>
    </w:p>
    <w:p w14:paraId="4368C5EC" w14:textId="3AE93EA7" w:rsidR="00EF1C33" w:rsidRDefault="00AC3B0F">
      <w:pPr>
        <w:ind w:firstLine="720"/>
        <w:jc w:val="both"/>
      </w:pPr>
      <w:r w:rsidRPr="00AC3B0F">
        <w:t>Renault ha transformado su planta de Flins, en Francia, en la Re-Factory, la primera fábrica europea de economía circular dedicada a la movilidad. Este proyecto integra la remanufactura de componentes, el prolongamiento de la vida útil de los vehículos y la recuperación de materiales. Entre los objetivos destacados, se busca lograr un balance de emisiones de CO2 negativo para el año 2030. Además, se espera generar cerca de 3.000 empleos relacionados con actividades circulares</w:t>
      </w:r>
      <w:r>
        <w:t xml:space="preserve">. </w:t>
      </w:r>
      <w:r w:rsidRPr="00AC3B0F">
        <w:t>La remanufactura de piezas es el centro del proyecto. Permite ahorrar mucha energía y materia prima en comparación con la fabricación nueva. Esta ventaja ya se ha demostrado en la remanufactura de bienes de capital (</w:t>
      </w:r>
      <w:proofErr w:type="spellStart"/>
      <w:r w:rsidRPr="00AC3B0F">
        <w:t>Centoamore</w:t>
      </w:r>
      <w:proofErr w:type="spellEnd"/>
      <w:r w:rsidRPr="00AC3B0F">
        <w:t xml:space="preserve"> &amp; Pinto, 2024). Es un KPI ambiental directo. También mejora el margen por unidad recuperada. El caso muestra cómo la circularidad deja de ser un programa secundario. Se convierte en una línea de negocio con sus propios indicadores de productividad y retorno.</w:t>
      </w:r>
    </w:p>
    <w:p w14:paraId="257DBEE9" w14:textId="11F36616" w:rsidR="00EF1C33" w:rsidRDefault="00000000">
      <w:pPr>
        <w:pStyle w:val="Ttulo3"/>
      </w:pPr>
      <w:r>
        <w:t xml:space="preserve">Caso 2. Schneider Electric: </w:t>
      </w:r>
    </w:p>
    <w:p w14:paraId="60F84E46" w14:textId="6A6468BA" w:rsidR="00BC1321" w:rsidRDefault="00AC3B0F">
      <w:pPr>
        <w:ind w:firstLine="720"/>
        <w:jc w:val="both"/>
      </w:pPr>
      <w:r w:rsidRPr="00AC3B0F">
        <w:t>Schneider Electric</w:t>
      </w:r>
      <w:r w:rsidR="004E766B">
        <w:t xml:space="preserve"> gestiona</w:t>
      </w:r>
      <w:r w:rsidRPr="00AC3B0F">
        <w:t xml:space="preserve"> su estrategia </w:t>
      </w:r>
      <w:r w:rsidR="004E766B">
        <w:t xml:space="preserve">bajo </w:t>
      </w:r>
      <w:r w:rsidRPr="00AC3B0F">
        <w:t xml:space="preserve">el programa Schneider </w:t>
      </w:r>
      <w:proofErr w:type="spellStart"/>
      <w:r w:rsidRPr="00AC3B0F">
        <w:t>Sustainability</w:t>
      </w:r>
      <w:proofErr w:type="spellEnd"/>
      <w:r w:rsidRPr="00AC3B0F">
        <w:t xml:space="preserve"> Impact</w:t>
      </w:r>
      <w:r w:rsidR="004E766B">
        <w:t>, y sobre es</w:t>
      </w:r>
      <w:r w:rsidRPr="00AC3B0F">
        <w:t xml:space="preserve">te programa </w:t>
      </w:r>
      <w:r w:rsidR="004E766B">
        <w:t>se convierte</w:t>
      </w:r>
      <w:r w:rsidRPr="00AC3B0F">
        <w:t xml:space="preserve"> los compromisos ESG en metas numéricas que</w:t>
      </w:r>
      <w:r w:rsidR="004E766B">
        <w:t xml:space="preserve"> son</w:t>
      </w:r>
      <w:r w:rsidRPr="00AC3B0F">
        <w:t xml:space="preserve"> revis</w:t>
      </w:r>
      <w:r w:rsidR="004E766B">
        <w:t>adas</w:t>
      </w:r>
      <w:r w:rsidRPr="00AC3B0F">
        <w:t xml:space="preserve"> cada trimestre. Schneider Electric </w:t>
      </w:r>
      <w:r w:rsidR="004E766B">
        <w:t>en su informe</w:t>
      </w:r>
      <w:r w:rsidRPr="00AC3B0F">
        <w:t xml:space="preserve"> </w:t>
      </w:r>
      <w:r w:rsidR="004E766B">
        <w:t xml:space="preserve">señalo </w:t>
      </w:r>
      <w:r w:rsidRPr="00AC3B0F">
        <w:t>que ayud</w:t>
      </w:r>
      <w:r w:rsidR="004E766B">
        <w:t>o</w:t>
      </w:r>
      <w:r w:rsidRPr="00AC3B0F">
        <w:t xml:space="preserve"> a sus clientes a ahorrar y a evitar cientos de millones de toneladas de CO2 </w:t>
      </w:r>
      <w:r w:rsidR="004E766B">
        <w:t>por medio</w:t>
      </w:r>
      <w:r w:rsidRPr="00AC3B0F">
        <w:t xml:space="preserve"> </w:t>
      </w:r>
      <w:r w:rsidR="004E766B">
        <w:t>de</w:t>
      </w:r>
      <w:r w:rsidRPr="00AC3B0F">
        <w:t xml:space="preserve"> su plataforma de gestión energética. </w:t>
      </w:r>
      <w:r w:rsidR="00BC1321" w:rsidRPr="00BC1321">
        <w:t xml:space="preserve">Schneider Electric </w:t>
      </w:r>
      <w:r w:rsidR="004E766B">
        <w:t>esta dirigido</w:t>
      </w:r>
      <w:r w:rsidR="00BC1321" w:rsidRPr="00BC1321">
        <w:t xml:space="preserve"> hacia un objetivo </w:t>
      </w:r>
      <w:r w:rsidR="00FC165B">
        <w:t>muy elevado</w:t>
      </w:r>
      <w:r w:rsidR="00BC1321" w:rsidRPr="00BC1321">
        <w:t xml:space="preserve"> que </w:t>
      </w:r>
      <w:r w:rsidR="004E766B">
        <w:t>de cierta forma busca</w:t>
      </w:r>
      <w:r w:rsidR="00BC1321" w:rsidRPr="00BC1321">
        <w:t xml:space="preserve"> alcanzar </w:t>
      </w:r>
      <w:r w:rsidR="00BC1321" w:rsidRPr="00BC1321">
        <w:lastRenderedPageBreak/>
        <w:t>para el año 2025</w:t>
      </w:r>
      <w:r w:rsidR="004E766B">
        <w:t xml:space="preserve">, </w:t>
      </w:r>
      <w:r w:rsidR="00BC1321" w:rsidRPr="00BC1321">
        <w:t>ocupa</w:t>
      </w:r>
      <w:r w:rsidR="004E766B">
        <w:t>ndo</w:t>
      </w:r>
      <w:r w:rsidR="00BC1321" w:rsidRPr="00BC1321">
        <w:t xml:space="preserve"> una posición destacada en índices independientes de sostenibilidad empresarial. En cuanto a la fabricación, este caso resulta particularmente relevante debido a que relaciona un indicador ambiental clave. </w:t>
      </w:r>
    </w:p>
    <w:p w14:paraId="1EC144CF" w14:textId="4E607FC0" w:rsidR="0067598E" w:rsidRDefault="00FC165B" w:rsidP="004A299E">
      <w:pPr>
        <w:ind w:firstLine="720"/>
        <w:jc w:val="both"/>
        <w:rPr>
          <w:b/>
          <w:bCs/>
        </w:rPr>
      </w:pPr>
      <w:r>
        <w:t>A partir de la</w:t>
      </w:r>
      <w:r w:rsidR="0067598E" w:rsidRPr="0067598E">
        <w:t xml:space="preserve"> información </w:t>
      </w:r>
      <w:r>
        <w:t>adicional</w:t>
      </w:r>
      <w:r w:rsidR="0067598E" w:rsidRPr="0067598E">
        <w:t>, el fabricante de pisos Interface</w:t>
      </w:r>
      <w:r>
        <w:t xml:space="preserve"> logro</w:t>
      </w:r>
      <w:r w:rsidR="0067598E" w:rsidRPr="0067598E">
        <w:t xml:space="preserve"> reducir </w:t>
      </w:r>
      <w:r>
        <w:t>de manera significativa</w:t>
      </w:r>
      <w:r w:rsidR="0067598E" w:rsidRPr="0067598E">
        <w:t xml:space="preserve"> la huella de carbono de sus productos </w:t>
      </w:r>
      <w:r>
        <w:t>en un tiempo</w:t>
      </w:r>
      <w:r w:rsidR="0067598E" w:rsidRPr="0067598E">
        <w:t xml:space="preserve"> de dos décadas. </w:t>
      </w:r>
      <w:r>
        <w:t>Asimismo</w:t>
      </w:r>
      <w:r w:rsidR="0067598E" w:rsidRPr="0067598E">
        <w:t xml:space="preserve">, </w:t>
      </w:r>
      <w:r>
        <w:t>con sus lanzamientos de</w:t>
      </w:r>
      <w:r w:rsidR="0067598E" w:rsidRPr="0067598E">
        <w:t xml:space="preserve"> líneas de productos con una huella de carbono neutra o incluso negativa</w:t>
      </w:r>
      <w:r>
        <w:t>,</w:t>
      </w:r>
      <w:r w:rsidR="0067598E" w:rsidRPr="0067598E">
        <w:t xml:space="preserve"> dem</w:t>
      </w:r>
      <w:r>
        <w:t>ostrando</w:t>
      </w:r>
      <w:r w:rsidR="0067598E" w:rsidRPr="0067598E">
        <w:t xml:space="preserve"> cómo el cambio en los materiales usados influ</w:t>
      </w:r>
      <w:r>
        <w:t>ye</w:t>
      </w:r>
      <w:r w:rsidR="0067598E" w:rsidRPr="0067598E">
        <w:t xml:space="preserve"> en las métricas de carbono por producto. </w:t>
      </w:r>
      <w:r>
        <w:t xml:space="preserve">De tal forma estos </w:t>
      </w:r>
      <w:r w:rsidR="0067598E" w:rsidRPr="0067598E">
        <w:t>ejemplos</w:t>
      </w:r>
      <w:r>
        <w:t xml:space="preserve"> </w:t>
      </w:r>
      <w:r w:rsidR="0067598E" w:rsidRPr="0067598E">
        <w:t xml:space="preserve">respaldan la idea central </w:t>
      </w:r>
      <w:r>
        <w:t>con esta</w:t>
      </w:r>
      <w:r w:rsidR="0067598E" w:rsidRPr="0067598E">
        <w:t xml:space="preserve"> </w:t>
      </w:r>
      <w:r>
        <w:t>verificación que intuye a que</w:t>
      </w:r>
      <w:r w:rsidR="0067598E" w:rsidRPr="0067598E">
        <w:t xml:space="preserve"> la sostenibilidad </w:t>
      </w:r>
      <w:r>
        <w:t>pasa a ser</w:t>
      </w:r>
      <w:r w:rsidR="0067598E" w:rsidRPr="0067598E">
        <w:t xml:space="preserve"> tangible cuando se mide mediante indicadores concretos.</w:t>
      </w:r>
    </w:p>
    <w:p w14:paraId="62099450" w14:textId="57C98498" w:rsidR="00EF1C33" w:rsidRDefault="00000000">
      <w:pPr>
        <w:pStyle w:val="Ttulo1"/>
      </w:pPr>
      <w:r>
        <w:t xml:space="preserve">Conclusiones y </w:t>
      </w:r>
      <w:r w:rsidR="00FC165B">
        <w:t>T</w:t>
      </w:r>
      <w:r>
        <w:t xml:space="preserve">rabajo </w:t>
      </w:r>
      <w:r w:rsidR="00FC165B">
        <w:t>F</w:t>
      </w:r>
      <w:r>
        <w:t>uturo</w:t>
      </w:r>
    </w:p>
    <w:p w14:paraId="39D3A141" w14:textId="499D69E9" w:rsidR="0067598E" w:rsidRDefault="00FC165B">
      <w:pPr>
        <w:ind w:firstLine="720"/>
        <w:jc w:val="both"/>
      </w:pPr>
      <w:r>
        <w:t xml:space="preserve">Llegado a este punto y con el desarrollo del trabajo se puede inferir como primera conclusión que la presente </w:t>
      </w:r>
      <w:r w:rsidR="0067598E" w:rsidRPr="0067598E">
        <w:t xml:space="preserve">revisión </w:t>
      </w:r>
      <w:r>
        <w:t>esta</w:t>
      </w:r>
      <w:r w:rsidR="0067598E" w:rsidRPr="0067598E">
        <w:t xml:space="preserve"> centra</w:t>
      </w:r>
      <w:r>
        <w:t>da</w:t>
      </w:r>
      <w:r w:rsidR="0067598E" w:rsidRPr="0067598E">
        <w:t xml:space="preserve"> en una idea </w:t>
      </w:r>
      <w:r>
        <w:t xml:space="preserve">base por medio de </w:t>
      </w:r>
      <w:proofErr w:type="gramStart"/>
      <w:r>
        <w:t>que</w:t>
      </w:r>
      <w:proofErr w:type="gramEnd"/>
      <w:r w:rsidR="0067598E" w:rsidRPr="0067598E">
        <w:t xml:space="preserve"> en la manufactura actual</w:t>
      </w:r>
      <w:r>
        <w:t>, l</w:t>
      </w:r>
      <w:r w:rsidR="0067598E" w:rsidRPr="0067598E">
        <w:t xml:space="preserve">a sostenibilidad puede ser </w:t>
      </w:r>
      <w:r>
        <w:t xml:space="preserve">únicamente </w:t>
      </w:r>
      <w:r w:rsidR="0067598E" w:rsidRPr="0067598E">
        <w:t xml:space="preserve">gestionada de manera efectiva cuando se </w:t>
      </w:r>
      <w:r>
        <w:t>transforma</w:t>
      </w:r>
      <w:r w:rsidR="0067598E" w:rsidRPr="0067598E">
        <w:t xml:space="preserve"> en datos cuantificables</w:t>
      </w:r>
      <w:r>
        <w:t xml:space="preserve"> y </w:t>
      </w:r>
      <w:r w:rsidR="00BB4E47">
        <w:t>que,</w:t>
      </w:r>
      <w:r>
        <w:t xml:space="preserve"> a la vez, la</w:t>
      </w:r>
      <w:r w:rsidR="0067598E" w:rsidRPr="0067598E">
        <w:t xml:space="preserve"> economía circular proporciona la estrategia de diseño</w:t>
      </w:r>
      <w:r>
        <w:t>, m</w:t>
      </w:r>
      <w:r w:rsidR="0067598E" w:rsidRPr="0067598E">
        <w:t>ientras que la gestión ambiental de la cadena de suministro define el alcance real del impacto ambiental.</w:t>
      </w:r>
      <w:r w:rsidR="00BB4E47">
        <w:t xml:space="preserve"> En sí, e</w:t>
      </w:r>
      <w:r w:rsidR="0067598E" w:rsidRPr="0067598E">
        <w:t xml:space="preserve">l </w:t>
      </w:r>
      <w:r w:rsidR="00BB4E47">
        <w:t>informe</w:t>
      </w:r>
      <w:r w:rsidR="0067598E" w:rsidRPr="0067598E">
        <w:t xml:space="preserve"> presenta como contribución principal</w:t>
      </w:r>
      <w:r w:rsidR="00BB4E47">
        <w:t>, a</w:t>
      </w:r>
      <w:r w:rsidR="0067598E" w:rsidRPr="0067598E">
        <w:t xml:space="preserve"> la demostración de que estos campos</w:t>
      </w:r>
      <w:r w:rsidR="00BB4E47">
        <w:t>, por lo general</w:t>
      </w:r>
      <w:r w:rsidR="0067598E" w:rsidRPr="0067598E">
        <w:t xml:space="preserve"> estudiados de </w:t>
      </w:r>
      <w:r w:rsidR="00BB4E47">
        <w:t>manera</w:t>
      </w:r>
      <w:r w:rsidR="0067598E" w:rsidRPr="0067598E">
        <w:t xml:space="preserve"> independiente</w:t>
      </w:r>
      <w:r w:rsidR="00BB4E47">
        <w:t>, a</w:t>
      </w:r>
      <w:r w:rsidR="0067598E" w:rsidRPr="0067598E">
        <w:t>dquieren sentido cuando se consideran como un sistema integral y orientado por los principios de la Industria 5.0.</w:t>
      </w:r>
    </w:p>
    <w:p w14:paraId="34EC4D86" w14:textId="46095E82" w:rsidR="0067598E" w:rsidRDefault="00BB4E47" w:rsidP="003877FB">
      <w:pPr>
        <w:ind w:firstLine="720"/>
        <w:jc w:val="both"/>
      </w:pPr>
      <w:r>
        <w:t xml:space="preserve">Teniendo en cuenta </w:t>
      </w:r>
      <w:proofErr w:type="gramStart"/>
      <w:r>
        <w:t>que</w:t>
      </w:r>
      <w:proofErr w:type="gramEnd"/>
      <w:r>
        <w:t xml:space="preserve"> ante el contexto de </w:t>
      </w:r>
      <w:r w:rsidR="0067598E" w:rsidRPr="0067598E">
        <w:t xml:space="preserve">la práctica industrial, la inversión en </w:t>
      </w:r>
      <w:r>
        <w:t xml:space="preserve">estas sea de manera </w:t>
      </w:r>
      <w:r w:rsidR="0067598E" w:rsidRPr="0067598E">
        <w:t>circular o en cadenas de suministro con el medio ambiente no produce muchos beneficios si no se cuenta con</w:t>
      </w:r>
      <w:r>
        <w:t xml:space="preserve"> la</w:t>
      </w:r>
      <w:r w:rsidR="0067598E" w:rsidRPr="0067598E">
        <w:t xml:space="preserve"> infraestructura de datos que permita evaluar y confirmar esos efectos. </w:t>
      </w:r>
      <w:r>
        <w:t>Asimismo, l</w:t>
      </w:r>
      <w:r w:rsidR="0067598E" w:rsidRPr="0067598E">
        <w:t xml:space="preserve">as empresas que logren </w:t>
      </w:r>
      <w:r>
        <w:t>cambiar</w:t>
      </w:r>
      <w:r w:rsidR="0067598E" w:rsidRPr="0067598E">
        <w:t xml:space="preserve"> sus compromisos en indicadores medibles y </w:t>
      </w:r>
      <w:r w:rsidR="0067598E" w:rsidRPr="0067598E">
        <w:lastRenderedPageBreak/>
        <w:t>verificables</w:t>
      </w:r>
      <w:r>
        <w:t>, sean m</w:t>
      </w:r>
      <w:r w:rsidR="0067598E" w:rsidRPr="0067598E">
        <w:t>ás allá de simples declaraciones de principios</w:t>
      </w:r>
      <w:r>
        <w:t>, van a ser</w:t>
      </w:r>
      <w:r w:rsidR="0067598E" w:rsidRPr="0067598E">
        <w:t xml:space="preserve"> las que se beneficien tanto de la presión ejercida por las regulaciones como de la presión del mercado de capitales. </w:t>
      </w:r>
    </w:p>
    <w:p w14:paraId="2180F037" w14:textId="649298A8" w:rsidR="0067598E" w:rsidRDefault="00BB4E47" w:rsidP="003877FB">
      <w:pPr>
        <w:ind w:firstLine="720"/>
        <w:jc w:val="both"/>
      </w:pPr>
      <w:r>
        <w:t>Por otro lado, también es notorio destacar que, en el transcurso de desarrollo de</w:t>
      </w:r>
      <w:r w:rsidR="0067598E" w:rsidRPr="0067598E">
        <w:t>l estudio</w:t>
      </w:r>
      <w:r>
        <w:t>,</w:t>
      </w:r>
      <w:r w:rsidR="0067598E" w:rsidRPr="0067598E">
        <w:t xml:space="preserve"> </w:t>
      </w:r>
      <w:r>
        <w:t xml:space="preserve">se </w:t>
      </w:r>
      <w:r w:rsidR="0067598E" w:rsidRPr="0067598E">
        <w:t>presenta</w:t>
      </w:r>
      <w:r>
        <w:t>n</w:t>
      </w:r>
      <w:r w:rsidR="0067598E" w:rsidRPr="0067598E">
        <w:t xml:space="preserve"> limitaciones que deben ser consideradas</w:t>
      </w:r>
      <w:r>
        <w:t>, centrándose</w:t>
      </w:r>
      <w:r w:rsidR="0067598E" w:rsidRPr="0067598E">
        <w:t xml:space="preserve"> en dos bases de datos y en artículos publicados en inglés y español. </w:t>
      </w:r>
      <w:r>
        <w:t>Con lo cual, se</w:t>
      </w:r>
      <w:r w:rsidR="0067598E" w:rsidRPr="0067598E">
        <w:t xml:space="preserve"> podría haber llevado a excluir literatura regional valiosa. También, </w:t>
      </w:r>
      <w:r>
        <w:t>al tratarse de</w:t>
      </w:r>
      <w:r w:rsidR="0067598E" w:rsidRPr="0067598E">
        <w:t xml:space="preserve"> una revisión simplificada</w:t>
      </w:r>
      <w:r>
        <w:t xml:space="preserve">, </w:t>
      </w:r>
      <w:proofErr w:type="spellStart"/>
      <w:r>
        <w:t>no</w:t>
      </w:r>
      <w:r w:rsidR="0067598E" w:rsidRPr="0067598E">
        <w:t>se</w:t>
      </w:r>
      <w:proofErr w:type="spellEnd"/>
      <w:r w:rsidR="0067598E" w:rsidRPr="0067598E">
        <w:t xml:space="preserve"> realizaron metaanálisis cuantitativos ni se llevó a cabo una evaluación formal del riesgo de sesgo en los estudios primarios.</w:t>
      </w:r>
    </w:p>
    <w:p w14:paraId="4564AC07" w14:textId="29C9E69A" w:rsidR="0067598E" w:rsidRDefault="006B55EA" w:rsidP="004A299E">
      <w:pPr>
        <w:ind w:firstLine="720"/>
        <w:jc w:val="both"/>
      </w:pPr>
      <w:r>
        <w:t>Finalmente,</w:t>
      </w:r>
      <w:r w:rsidR="00BB4E47">
        <w:t xml:space="preserve"> antes l</w:t>
      </w:r>
      <w:r w:rsidR="0067598E" w:rsidRPr="0067598E">
        <w:t>as futuras líneas de investigación</w:t>
      </w:r>
      <w:r w:rsidR="00BB4E47">
        <w:t xml:space="preserve"> que</w:t>
      </w:r>
      <w:r w:rsidR="0067598E" w:rsidRPr="0067598E">
        <w:t xml:space="preserve"> surgen de los vacíos detectados</w:t>
      </w:r>
      <w:r w:rsidR="00BB4E47">
        <w:t xml:space="preserve"> </w:t>
      </w:r>
      <w:r>
        <w:t>son</w:t>
      </w:r>
      <w:r w:rsidR="00BB4E47">
        <w:t xml:space="preserve"> necesario </w:t>
      </w:r>
      <w:r>
        <w:t>que,</w:t>
      </w:r>
      <w:r w:rsidR="00BB4E47">
        <w:t xml:space="preserve"> para avanzar</w:t>
      </w:r>
      <w:r w:rsidR="0067598E" w:rsidRPr="0067598E">
        <w:t>, se requieren estudios empíricos a nivel de planta que analicen el impacto del pasaporte digital en indicadores relacionados con la economía circular; investigaciones que determinen si la trazabilidad digital mejora la credibilidad y la convergencia de las calificaciones de sostenibilidad</w:t>
      </w:r>
      <w:r w:rsidR="00F94AA4">
        <w:t>, e</w:t>
      </w:r>
      <w:r w:rsidR="0067598E" w:rsidRPr="0067598E">
        <w:t>senciales para la evaluación de desempeño empresarial</w:t>
      </w:r>
      <w:r w:rsidR="00F94AA4">
        <w:t>: c</w:t>
      </w:r>
      <w:r w:rsidR="0067598E" w:rsidRPr="0067598E">
        <w:t xml:space="preserve">onocidas como ESG y evaluaciones detalladas del costo y el efecto ambiental de la infraestructura digital usada. </w:t>
      </w:r>
      <w:r>
        <w:t>Que se concluiría que teniendo esto determinado</w:t>
      </w:r>
      <w:r w:rsidR="0067598E" w:rsidRPr="0067598E">
        <w:t>, se podrá hacer la transición de la promesa de una manufactura sostenible a una realidad verificable y cuantificable.</w:t>
      </w:r>
    </w:p>
    <w:p w14:paraId="51857185" w14:textId="77777777" w:rsidR="006B55EA" w:rsidRDefault="006B55EA" w:rsidP="004A299E">
      <w:pPr>
        <w:ind w:firstLine="720"/>
        <w:jc w:val="both"/>
      </w:pPr>
    </w:p>
    <w:p w14:paraId="4DE4D90F" w14:textId="77777777" w:rsidR="00BB4E47" w:rsidRDefault="00BB4E47" w:rsidP="004A299E">
      <w:pPr>
        <w:ind w:firstLine="720"/>
        <w:jc w:val="both"/>
      </w:pPr>
    </w:p>
    <w:p w14:paraId="345DB9D4" w14:textId="77777777" w:rsidR="00BB4E47" w:rsidRDefault="00BB4E47" w:rsidP="004A299E">
      <w:pPr>
        <w:ind w:firstLine="720"/>
        <w:jc w:val="both"/>
      </w:pPr>
    </w:p>
    <w:p w14:paraId="6D05ACA1" w14:textId="77777777" w:rsidR="00BB4E47" w:rsidRDefault="00BB4E47" w:rsidP="004A299E">
      <w:pPr>
        <w:ind w:firstLine="720"/>
        <w:jc w:val="both"/>
      </w:pPr>
    </w:p>
    <w:p w14:paraId="15502105" w14:textId="77777777" w:rsidR="00BB4E47" w:rsidRDefault="00BB4E47" w:rsidP="004A299E">
      <w:pPr>
        <w:ind w:firstLine="720"/>
        <w:jc w:val="both"/>
      </w:pPr>
    </w:p>
    <w:p w14:paraId="44FC0B11" w14:textId="77777777" w:rsidR="006B55EA" w:rsidRDefault="006B55EA" w:rsidP="004A299E">
      <w:pPr>
        <w:ind w:firstLine="720"/>
        <w:jc w:val="both"/>
      </w:pPr>
    </w:p>
    <w:p w14:paraId="2CF24EEF" w14:textId="77777777" w:rsidR="006B55EA" w:rsidRDefault="006B55EA" w:rsidP="004A299E">
      <w:pPr>
        <w:ind w:firstLine="720"/>
        <w:jc w:val="both"/>
      </w:pPr>
    </w:p>
    <w:p w14:paraId="367F4D32" w14:textId="77777777" w:rsidR="00BB4E47" w:rsidRPr="003877FB" w:rsidRDefault="00BB4E47" w:rsidP="004A299E">
      <w:pPr>
        <w:ind w:firstLine="720"/>
        <w:jc w:val="both"/>
      </w:pPr>
    </w:p>
    <w:p w14:paraId="64AD24F4" w14:textId="2EC6A37E" w:rsidR="00EF1C33" w:rsidRDefault="00000000">
      <w:pPr>
        <w:pStyle w:val="Ttulo1"/>
      </w:pPr>
      <w:r>
        <w:lastRenderedPageBreak/>
        <w:t>Referencias</w:t>
      </w:r>
    </w:p>
    <w:p w14:paraId="616F8320" w14:textId="77777777" w:rsidR="00EF1C33" w:rsidRPr="000E2ACD" w:rsidRDefault="00000000">
      <w:pPr>
        <w:ind w:left="720" w:hanging="720"/>
        <w:rPr>
          <w:lang w:val="en-US"/>
        </w:rPr>
      </w:pPr>
      <w:r>
        <w:rPr>
          <w:u w:val="single"/>
        </w:rPr>
        <w:t xml:space="preserve">Abbas, Z., &amp; Myeong, S. (2024). </w:t>
      </w:r>
      <w:r w:rsidRPr="000E2ACD">
        <w:rPr>
          <w:u w:val="single"/>
          <w:lang w:val="en-US"/>
        </w:rPr>
        <w:t xml:space="preserve">A comprehensive study of blockchain technology and its role in promoting sustainability and circularity across large-scale industry. </w:t>
      </w:r>
      <w:r w:rsidRPr="000E2ACD">
        <w:rPr>
          <w:i/>
          <w:iCs/>
          <w:u w:val="single"/>
          <w:lang w:val="en-US"/>
        </w:rPr>
        <w:t>Sustainability, 16</w:t>
      </w:r>
      <w:r w:rsidRPr="000E2ACD">
        <w:rPr>
          <w:u w:val="single"/>
          <w:lang w:val="en-US"/>
        </w:rPr>
        <w:t>(10), 4232. https://doi.org/10.3390/su16104232</w:t>
      </w:r>
    </w:p>
    <w:p w14:paraId="0E063E57" w14:textId="77777777" w:rsidR="00EF1C33" w:rsidRPr="000E2ACD" w:rsidRDefault="00000000">
      <w:pPr>
        <w:ind w:left="720" w:hanging="720"/>
        <w:rPr>
          <w:lang w:val="en-US"/>
        </w:rPr>
      </w:pPr>
      <w:r w:rsidRPr="000E2ACD">
        <w:rPr>
          <w:u w:val="single"/>
          <w:lang w:val="en-US"/>
        </w:rPr>
        <w:t xml:space="preserve">Adisorn, T., Tholen, L., &amp; Götz, T. (2021). Towards a digital product passport fit for contributing to a circular economy. </w:t>
      </w:r>
      <w:r w:rsidRPr="000E2ACD">
        <w:rPr>
          <w:i/>
          <w:iCs/>
          <w:u w:val="single"/>
          <w:lang w:val="en-US"/>
        </w:rPr>
        <w:t>Energies, 14</w:t>
      </w:r>
      <w:r w:rsidRPr="000E2ACD">
        <w:rPr>
          <w:u w:val="single"/>
          <w:lang w:val="en-US"/>
        </w:rPr>
        <w:t>(8), 2289. https://doi.org/10.3390/en14082289</w:t>
      </w:r>
    </w:p>
    <w:p w14:paraId="20924FAC" w14:textId="77777777" w:rsidR="00EF1C33" w:rsidRPr="000E2ACD" w:rsidRDefault="00000000">
      <w:pPr>
        <w:ind w:left="720" w:hanging="720"/>
        <w:rPr>
          <w:lang w:val="en-US"/>
        </w:rPr>
      </w:pPr>
      <w:r w:rsidRPr="000E2ACD">
        <w:rPr>
          <w:u w:val="single"/>
          <w:lang w:val="en-US"/>
        </w:rPr>
        <w:t xml:space="preserve">Akram, H. W. (2026). Closed-loop and circular supply chains: A meta-review of reverse logistics, product lifecycle and zero-waste strategies. </w:t>
      </w:r>
      <w:r w:rsidRPr="000E2ACD">
        <w:rPr>
          <w:i/>
          <w:iCs/>
          <w:u w:val="single"/>
          <w:lang w:val="en-US"/>
        </w:rPr>
        <w:t>International Journal of Industrial Engineering and Operations Management</w:t>
      </w:r>
      <w:r w:rsidRPr="000E2ACD">
        <w:rPr>
          <w:u w:val="single"/>
          <w:lang w:val="en-US"/>
        </w:rPr>
        <w:t xml:space="preserve">. </w:t>
      </w:r>
      <w:proofErr w:type="spellStart"/>
      <w:r w:rsidRPr="000E2ACD">
        <w:rPr>
          <w:u w:val="single"/>
          <w:lang w:val="en-US"/>
        </w:rPr>
        <w:t>Publicación</w:t>
      </w:r>
      <w:proofErr w:type="spellEnd"/>
      <w:r w:rsidRPr="000E2ACD">
        <w:rPr>
          <w:u w:val="single"/>
          <w:lang w:val="en-US"/>
        </w:rPr>
        <w:t xml:space="preserve"> </w:t>
      </w:r>
      <w:proofErr w:type="spellStart"/>
      <w:r w:rsidRPr="000E2ACD">
        <w:rPr>
          <w:u w:val="single"/>
          <w:lang w:val="en-US"/>
        </w:rPr>
        <w:t>anticipada</w:t>
      </w:r>
      <w:proofErr w:type="spellEnd"/>
      <w:r w:rsidRPr="000E2ACD">
        <w:rPr>
          <w:u w:val="single"/>
          <w:lang w:val="en-US"/>
        </w:rPr>
        <w:t xml:space="preserve"> </w:t>
      </w:r>
      <w:proofErr w:type="spellStart"/>
      <w:r w:rsidRPr="000E2ACD">
        <w:rPr>
          <w:u w:val="single"/>
          <w:lang w:val="en-US"/>
        </w:rPr>
        <w:t>en</w:t>
      </w:r>
      <w:proofErr w:type="spellEnd"/>
      <w:r w:rsidRPr="000E2ACD">
        <w:rPr>
          <w:u w:val="single"/>
          <w:lang w:val="en-US"/>
        </w:rPr>
        <w:t xml:space="preserve"> </w:t>
      </w:r>
      <w:proofErr w:type="spellStart"/>
      <w:r w:rsidRPr="000E2ACD">
        <w:rPr>
          <w:u w:val="single"/>
          <w:lang w:val="en-US"/>
        </w:rPr>
        <w:t>línea</w:t>
      </w:r>
      <w:proofErr w:type="spellEnd"/>
      <w:r w:rsidRPr="000E2ACD">
        <w:rPr>
          <w:u w:val="single"/>
          <w:lang w:val="en-US"/>
        </w:rPr>
        <w:t>. https://doi.org/10.1108/IJIEOM-10-2025-0257</w:t>
      </w:r>
    </w:p>
    <w:p w14:paraId="28073893" w14:textId="77777777" w:rsidR="00EF1C33" w:rsidRPr="000E2ACD" w:rsidRDefault="00000000">
      <w:pPr>
        <w:ind w:left="720" w:hanging="720"/>
        <w:rPr>
          <w:lang w:val="en-US"/>
        </w:rPr>
      </w:pPr>
      <w:r w:rsidRPr="000E2ACD">
        <w:rPr>
          <w:u w:val="single"/>
          <w:lang w:val="en-US"/>
        </w:rPr>
        <w:t xml:space="preserve">Atif, S. (2023). </w:t>
      </w:r>
      <w:proofErr w:type="spellStart"/>
      <w:r w:rsidRPr="000E2ACD">
        <w:rPr>
          <w:u w:val="single"/>
          <w:lang w:val="en-US"/>
        </w:rPr>
        <w:t>Analysing</w:t>
      </w:r>
      <w:proofErr w:type="spellEnd"/>
      <w:r w:rsidRPr="000E2ACD">
        <w:rPr>
          <w:u w:val="single"/>
          <w:lang w:val="en-US"/>
        </w:rPr>
        <w:t xml:space="preserve"> the alignment between circular economy and Industry 4.0 nexus with Industry 5.0 era: An integrative systematic literature review. </w:t>
      </w:r>
      <w:r w:rsidRPr="000E2ACD">
        <w:rPr>
          <w:i/>
          <w:iCs/>
          <w:u w:val="single"/>
          <w:lang w:val="en-US"/>
        </w:rPr>
        <w:t>Sustainable Development, 31</w:t>
      </w:r>
      <w:r w:rsidRPr="000E2ACD">
        <w:rPr>
          <w:u w:val="single"/>
          <w:lang w:val="en-US"/>
        </w:rPr>
        <w:t>(4), 2155–2175. https://doi.org/10.1002/sd.2542</w:t>
      </w:r>
    </w:p>
    <w:p w14:paraId="381236FF" w14:textId="77777777" w:rsidR="00EF1C33" w:rsidRPr="000E2ACD" w:rsidRDefault="00000000">
      <w:pPr>
        <w:ind w:left="720" w:hanging="720"/>
        <w:rPr>
          <w:lang w:val="en-US"/>
        </w:rPr>
      </w:pPr>
      <w:r w:rsidRPr="000E2ACD">
        <w:rPr>
          <w:u w:val="single"/>
          <w:lang w:val="en-US"/>
        </w:rPr>
        <w:t xml:space="preserve">Bai, C., </w:t>
      </w:r>
      <w:proofErr w:type="spellStart"/>
      <w:r w:rsidRPr="000E2ACD">
        <w:rPr>
          <w:u w:val="single"/>
          <w:lang w:val="en-US"/>
        </w:rPr>
        <w:t>Dallasega</w:t>
      </w:r>
      <w:proofErr w:type="spellEnd"/>
      <w:r w:rsidRPr="000E2ACD">
        <w:rPr>
          <w:u w:val="single"/>
          <w:lang w:val="en-US"/>
        </w:rPr>
        <w:t xml:space="preserve">, P., Orzes, G., &amp; Sarkis, J. (2020). Industry 4.0 technologies assessment: A sustainability perspective. </w:t>
      </w:r>
      <w:r w:rsidRPr="000E2ACD">
        <w:rPr>
          <w:i/>
          <w:iCs/>
          <w:u w:val="single"/>
          <w:lang w:val="en-US"/>
        </w:rPr>
        <w:t>International Journal of Production Economics, 229</w:t>
      </w:r>
      <w:r w:rsidRPr="000E2ACD">
        <w:rPr>
          <w:u w:val="single"/>
          <w:lang w:val="en-US"/>
        </w:rPr>
        <w:t>, 107776. https://doi.org/10.1016/j.ijpe.2020.107776</w:t>
      </w:r>
    </w:p>
    <w:p w14:paraId="2DD49514" w14:textId="77777777" w:rsidR="00EF1C33" w:rsidRPr="000E2ACD" w:rsidRDefault="00000000">
      <w:pPr>
        <w:ind w:left="720" w:hanging="720"/>
        <w:rPr>
          <w:lang w:val="en-US"/>
        </w:rPr>
      </w:pPr>
      <w:proofErr w:type="spellStart"/>
      <w:r>
        <w:rPr>
          <w:u w:val="single"/>
        </w:rPr>
        <w:t>Baratsas</w:t>
      </w:r>
      <w:proofErr w:type="spellEnd"/>
      <w:r>
        <w:rPr>
          <w:u w:val="single"/>
        </w:rPr>
        <w:t xml:space="preserve">, S. G., </w:t>
      </w:r>
      <w:proofErr w:type="spellStart"/>
      <w:r>
        <w:rPr>
          <w:u w:val="single"/>
        </w:rPr>
        <w:t>Pistikopoulos</w:t>
      </w:r>
      <w:proofErr w:type="spellEnd"/>
      <w:r>
        <w:rPr>
          <w:u w:val="single"/>
        </w:rPr>
        <w:t xml:space="preserve">, E. N., &amp; </w:t>
      </w:r>
      <w:proofErr w:type="spellStart"/>
      <w:r>
        <w:rPr>
          <w:u w:val="single"/>
        </w:rPr>
        <w:t>Avraamidou</w:t>
      </w:r>
      <w:proofErr w:type="spellEnd"/>
      <w:r>
        <w:rPr>
          <w:u w:val="single"/>
        </w:rPr>
        <w:t xml:space="preserve">, S. (2022). </w:t>
      </w:r>
      <w:r w:rsidRPr="000E2ACD">
        <w:rPr>
          <w:u w:val="single"/>
          <w:lang w:val="en-US"/>
        </w:rPr>
        <w:t xml:space="preserve">A quantitative and holistic circular economy assessment framework at the micro level. </w:t>
      </w:r>
      <w:r w:rsidRPr="000E2ACD">
        <w:rPr>
          <w:i/>
          <w:iCs/>
          <w:u w:val="single"/>
          <w:lang w:val="en-US"/>
        </w:rPr>
        <w:t>Computers and Chemical Engineering, 160</w:t>
      </w:r>
      <w:r w:rsidRPr="000E2ACD">
        <w:rPr>
          <w:u w:val="single"/>
          <w:lang w:val="en-US"/>
        </w:rPr>
        <w:t>, 107697. https://doi.org/10.1016/j.compchemeng.2022.107697</w:t>
      </w:r>
    </w:p>
    <w:p w14:paraId="4F67DBD5" w14:textId="696C91DC" w:rsidR="00EF1C33" w:rsidRPr="000E2ACD" w:rsidRDefault="00000000">
      <w:pPr>
        <w:ind w:left="720" w:hanging="720"/>
        <w:rPr>
          <w:lang w:val="en-US"/>
        </w:rPr>
      </w:pPr>
      <w:r w:rsidRPr="000E2ACD">
        <w:rPr>
          <w:u w:val="single"/>
          <w:lang w:val="en-US"/>
        </w:rPr>
        <w:t xml:space="preserve">Behera, U. S., &amp; Poddar, S. (2026). Introduction to circular economy in the manufacturing sector. En </w:t>
      </w:r>
      <w:r w:rsidRPr="000E2ACD">
        <w:rPr>
          <w:i/>
          <w:iCs/>
          <w:u w:val="single"/>
          <w:lang w:val="en-US"/>
        </w:rPr>
        <w:t>Manufacturing and the circular economy</w:t>
      </w:r>
      <w:r w:rsidRPr="000E2ACD">
        <w:rPr>
          <w:u w:val="single"/>
          <w:lang w:val="en-US"/>
        </w:rPr>
        <w:t xml:space="preserve"> (pp. 1–33).</w:t>
      </w:r>
      <w:r w:rsidR="002944DD" w:rsidRPr="002944DD">
        <w:rPr>
          <w:u w:val="single"/>
          <w:lang w:val="en-US"/>
        </w:rPr>
        <w:t xml:space="preserve"> https://doi.org/10.1002/jctb.7626</w:t>
      </w:r>
    </w:p>
    <w:p w14:paraId="5E6963BA" w14:textId="77777777" w:rsidR="00EF1C33" w:rsidRPr="000E2ACD" w:rsidRDefault="00000000">
      <w:pPr>
        <w:ind w:left="720" w:hanging="720"/>
        <w:rPr>
          <w:lang w:val="en-US"/>
        </w:rPr>
      </w:pPr>
      <w:r w:rsidRPr="000E2ACD">
        <w:rPr>
          <w:u w:val="single"/>
          <w:lang w:val="en-US"/>
        </w:rPr>
        <w:lastRenderedPageBreak/>
        <w:t xml:space="preserve">Berg, F., Koelbel, J. F., &amp; </w:t>
      </w:r>
      <w:proofErr w:type="spellStart"/>
      <w:r w:rsidRPr="000E2ACD">
        <w:rPr>
          <w:u w:val="single"/>
          <w:lang w:val="en-US"/>
        </w:rPr>
        <w:t>Rigobon</w:t>
      </w:r>
      <w:proofErr w:type="spellEnd"/>
      <w:r w:rsidRPr="000E2ACD">
        <w:rPr>
          <w:u w:val="single"/>
          <w:lang w:val="en-US"/>
        </w:rPr>
        <w:t xml:space="preserve">, R. (2022). Aggregate confusion: The divergence of ESG ratings. </w:t>
      </w:r>
      <w:r w:rsidRPr="000E2ACD">
        <w:rPr>
          <w:i/>
          <w:iCs/>
          <w:u w:val="single"/>
          <w:lang w:val="en-US"/>
        </w:rPr>
        <w:t>Review of Finance, 26</w:t>
      </w:r>
      <w:r w:rsidRPr="000E2ACD">
        <w:rPr>
          <w:u w:val="single"/>
          <w:lang w:val="en-US"/>
        </w:rPr>
        <w:t>(6), 1315–1344. https://doi.org/10.1093/rof/rfac033</w:t>
      </w:r>
    </w:p>
    <w:p w14:paraId="0C23BF40" w14:textId="77777777" w:rsidR="00EF1C33" w:rsidRPr="000E2ACD" w:rsidRDefault="00000000">
      <w:pPr>
        <w:ind w:left="720" w:hanging="720"/>
        <w:rPr>
          <w:lang w:val="en-US"/>
        </w:rPr>
      </w:pPr>
      <w:r w:rsidRPr="000E2ACD">
        <w:rPr>
          <w:u w:val="single"/>
          <w:lang w:val="en-US"/>
        </w:rPr>
        <w:t xml:space="preserve">Betts, K., Gutierrez-Franco, E., &amp; Ponce-Cueto, E. (2022). Key metrics to measure the performance and impact of reusable packaging in circular supply chains. </w:t>
      </w:r>
      <w:r w:rsidRPr="000E2ACD">
        <w:rPr>
          <w:i/>
          <w:iCs/>
          <w:u w:val="single"/>
          <w:lang w:val="en-US"/>
        </w:rPr>
        <w:t>Frontiers in Sustainability, 3</w:t>
      </w:r>
      <w:r w:rsidRPr="000E2ACD">
        <w:rPr>
          <w:u w:val="single"/>
          <w:lang w:val="en-US"/>
        </w:rPr>
        <w:t>, 910215. https://doi.org/10.3389/frsus.2022.910215</w:t>
      </w:r>
    </w:p>
    <w:p w14:paraId="526CA436" w14:textId="77777777" w:rsidR="00EF1C33" w:rsidRPr="000E2ACD" w:rsidRDefault="00000000">
      <w:pPr>
        <w:ind w:left="720" w:hanging="720"/>
        <w:rPr>
          <w:lang w:val="en-US"/>
        </w:rPr>
      </w:pPr>
      <w:proofErr w:type="spellStart"/>
      <w:r w:rsidRPr="000E2ACD">
        <w:rPr>
          <w:u w:val="single"/>
          <w:lang w:val="en-US"/>
        </w:rPr>
        <w:t>Bocken</w:t>
      </w:r>
      <w:proofErr w:type="spellEnd"/>
      <w:r w:rsidRPr="000E2ACD">
        <w:rPr>
          <w:u w:val="single"/>
          <w:lang w:val="en-US"/>
        </w:rPr>
        <w:t xml:space="preserve">, N. M. P., de Pauw, I., Bakker, C., &amp; van der </w:t>
      </w:r>
      <w:proofErr w:type="spellStart"/>
      <w:r w:rsidRPr="000E2ACD">
        <w:rPr>
          <w:u w:val="single"/>
          <w:lang w:val="en-US"/>
        </w:rPr>
        <w:t>Grinten</w:t>
      </w:r>
      <w:proofErr w:type="spellEnd"/>
      <w:r w:rsidRPr="000E2ACD">
        <w:rPr>
          <w:u w:val="single"/>
          <w:lang w:val="en-US"/>
        </w:rPr>
        <w:t xml:space="preserve">, B. (2016). Product design and business model strategies for a circular economy. </w:t>
      </w:r>
      <w:r w:rsidRPr="000E2ACD">
        <w:rPr>
          <w:i/>
          <w:iCs/>
          <w:u w:val="single"/>
          <w:lang w:val="en-US"/>
        </w:rPr>
        <w:t>Journal of Industrial and Production Engineering, 33</w:t>
      </w:r>
      <w:r w:rsidRPr="000E2ACD">
        <w:rPr>
          <w:u w:val="single"/>
          <w:lang w:val="en-US"/>
        </w:rPr>
        <w:t>(5), 308–320. https://doi.org/10.1080/21681015.2016.1172124</w:t>
      </w:r>
    </w:p>
    <w:p w14:paraId="2CE47AAB" w14:textId="77777777" w:rsidR="00EF1C33" w:rsidRPr="000E2ACD" w:rsidRDefault="00000000">
      <w:pPr>
        <w:ind w:left="720" w:hanging="720"/>
        <w:rPr>
          <w:lang w:val="en-US"/>
        </w:rPr>
      </w:pPr>
      <w:r w:rsidRPr="000E2ACD">
        <w:rPr>
          <w:u w:val="single"/>
          <w:lang w:val="en-US"/>
        </w:rPr>
        <w:t xml:space="preserve">Carter, C. R., &amp; Rogers, D. S. (2008). A framework of sustainable supply chain management: Moving toward new theory. </w:t>
      </w:r>
      <w:r w:rsidRPr="000E2ACD">
        <w:rPr>
          <w:i/>
          <w:iCs/>
          <w:u w:val="single"/>
          <w:lang w:val="en-US"/>
        </w:rPr>
        <w:t>International Journal of Physical Distribution &amp; Logistics Management, 38</w:t>
      </w:r>
      <w:r w:rsidRPr="000E2ACD">
        <w:rPr>
          <w:u w:val="single"/>
          <w:lang w:val="en-US"/>
        </w:rPr>
        <w:t>(5), 360–387. https://doi.org/10.1108/09600030810882816</w:t>
      </w:r>
    </w:p>
    <w:p w14:paraId="5442BDCC" w14:textId="77777777" w:rsidR="00EF1C33" w:rsidRPr="000E2ACD" w:rsidRDefault="00000000">
      <w:pPr>
        <w:ind w:left="720" w:hanging="720"/>
        <w:rPr>
          <w:lang w:val="en-US"/>
        </w:rPr>
      </w:pPr>
      <w:proofErr w:type="spellStart"/>
      <w:r>
        <w:rPr>
          <w:u w:val="single"/>
        </w:rPr>
        <w:t>Centoamore</w:t>
      </w:r>
      <w:proofErr w:type="spellEnd"/>
      <w:r>
        <w:rPr>
          <w:u w:val="single"/>
        </w:rPr>
        <w:t xml:space="preserve">, P., &amp; Pinto, L. F. R. (2024). </w:t>
      </w:r>
      <w:r w:rsidRPr="000E2ACD">
        <w:rPr>
          <w:u w:val="single"/>
          <w:lang w:val="en-US"/>
        </w:rPr>
        <w:t xml:space="preserve">Remanufacturing assessment of machine tools under a circular economy perspective: A resource conservation initiative. </w:t>
      </w:r>
      <w:r w:rsidRPr="000E2ACD">
        <w:rPr>
          <w:i/>
          <w:iCs/>
          <w:u w:val="single"/>
          <w:lang w:val="en-US"/>
        </w:rPr>
        <w:t>Sustainability, 16</w:t>
      </w:r>
      <w:r w:rsidRPr="000E2ACD">
        <w:rPr>
          <w:u w:val="single"/>
          <w:lang w:val="en-US"/>
        </w:rPr>
        <w:t>(8), 3109. https://doi.org/10.3390/su16083109</w:t>
      </w:r>
    </w:p>
    <w:p w14:paraId="1F78267C" w14:textId="77777777" w:rsidR="00EF1C33" w:rsidRPr="000E2ACD" w:rsidRDefault="00000000">
      <w:pPr>
        <w:ind w:left="720" w:hanging="720"/>
        <w:rPr>
          <w:lang w:val="en-US"/>
        </w:rPr>
      </w:pPr>
      <w:r w:rsidRPr="000E2ACD">
        <w:rPr>
          <w:u w:val="single"/>
          <w:lang w:val="en-US"/>
        </w:rPr>
        <w:t xml:space="preserve">Ching, N. T., </w:t>
      </w:r>
      <w:proofErr w:type="spellStart"/>
      <w:r w:rsidRPr="000E2ACD">
        <w:rPr>
          <w:u w:val="single"/>
          <w:lang w:val="en-US"/>
        </w:rPr>
        <w:t>Ghobakhloo</w:t>
      </w:r>
      <w:proofErr w:type="spellEnd"/>
      <w:r w:rsidRPr="000E2ACD">
        <w:rPr>
          <w:u w:val="single"/>
          <w:lang w:val="en-US"/>
        </w:rPr>
        <w:t xml:space="preserve">, M., </w:t>
      </w:r>
      <w:proofErr w:type="spellStart"/>
      <w:r w:rsidRPr="000E2ACD">
        <w:rPr>
          <w:u w:val="single"/>
          <w:lang w:val="en-US"/>
        </w:rPr>
        <w:t>Iranmanesh</w:t>
      </w:r>
      <w:proofErr w:type="spellEnd"/>
      <w:r w:rsidRPr="000E2ACD">
        <w:rPr>
          <w:u w:val="single"/>
          <w:lang w:val="en-US"/>
        </w:rPr>
        <w:t xml:space="preserve">, M., </w:t>
      </w:r>
      <w:proofErr w:type="spellStart"/>
      <w:r w:rsidRPr="000E2ACD">
        <w:rPr>
          <w:u w:val="single"/>
          <w:lang w:val="en-US"/>
        </w:rPr>
        <w:t>Maroufkhani</w:t>
      </w:r>
      <w:proofErr w:type="spellEnd"/>
      <w:r w:rsidRPr="000E2ACD">
        <w:rPr>
          <w:u w:val="single"/>
          <w:lang w:val="en-US"/>
        </w:rPr>
        <w:t xml:space="preserve">, P., &amp; Asadi, S. (2022). Industry 4.0 applications for sustainable manufacturing: A systematic literature review and a roadmap to sustainable development. </w:t>
      </w:r>
      <w:r w:rsidRPr="000E2ACD">
        <w:rPr>
          <w:i/>
          <w:iCs/>
          <w:u w:val="single"/>
          <w:lang w:val="en-US"/>
        </w:rPr>
        <w:t>Journal of Cleaner Production, 334</w:t>
      </w:r>
      <w:r w:rsidRPr="000E2ACD">
        <w:rPr>
          <w:u w:val="single"/>
          <w:lang w:val="en-US"/>
        </w:rPr>
        <w:t>, 130133. https://doi.org/10.1016/j.jclepro.2021.130133</w:t>
      </w:r>
    </w:p>
    <w:p w14:paraId="5F6921AF" w14:textId="77777777" w:rsidR="00EF1C33" w:rsidRPr="000E2ACD" w:rsidRDefault="00000000">
      <w:pPr>
        <w:ind w:left="720" w:hanging="720"/>
        <w:rPr>
          <w:lang w:val="en-US"/>
        </w:rPr>
      </w:pPr>
      <w:r w:rsidRPr="000E2ACD">
        <w:rPr>
          <w:u w:val="single"/>
          <w:lang w:val="en-US"/>
        </w:rPr>
        <w:t>Dacre, N., Yan, J., Frei, R., Al-</w:t>
      </w:r>
      <w:proofErr w:type="spellStart"/>
      <w:r w:rsidRPr="000E2ACD">
        <w:rPr>
          <w:u w:val="single"/>
          <w:lang w:val="en-US"/>
        </w:rPr>
        <w:t>Mhdawi</w:t>
      </w:r>
      <w:proofErr w:type="spellEnd"/>
      <w:r w:rsidRPr="000E2ACD">
        <w:rPr>
          <w:u w:val="single"/>
          <w:lang w:val="en-US"/>
        </w:rPr>
        <w:t xml:space="preserve">, M. K. S., &amp; Dong, H. (2024). Advancing sustainable manufacturing: A systematic exploration of Industry 5.0 supply chains for sustainability, human-centricity, and resilience. </w:t>
      </w:r>
      <w:r w:rsidRPr="000E2ACD">
        <w:rPr>
          <w:i/>
          <w:iCs/>
          <w:u w:val="single"/>
          <w:lang w:val="en-US"/>
        </w:rPr>
        <w:t>Production Planning &amp; Control</w:t>
      </w:r>
      <w:r w:rsidRPr="000E2ACD">
        <w:rPr>
          <w:u w:val="single"/>
          <w:lang w:val="en-US"/>
        </w:rPr>
        <w:t>. Advance online publication. https://doi.org/10.1080/09537287.2024.2380361</w:t>
      </w:r>
    </w:p>
    <w:p w14:paraId="5F3E3115" w14:textId="77777777" w:rsidR="00EF1C33" w:rsidRPr="000E2ACD" w:rsidRDefault="00000000">
      <w:pPr>
        <w:ind w:left="720" w:hanging="720"/>
        <w:rPr>
          <w:lang w:val="en-US"/>
        </w:rPr>
      </w:pPr>
      <w:r w:rsidRPr="000E2ACD">
        <w:rPr>
          <w:u w:val="single"/>
          <w:lang w:val="en-US"/>
        </w:rPr>
        <w:lastRenderedPageBreak/>
        <w:t xml:space="preserve">Duan, Y., Yang, F., &amp; Xiong, L. (2023). Environmental, social, and governance (ESG) performance and firm value: Evidence from Chinese manufacturing firms. </w:t>
      </w:r>
      <w:r w:rsidRPr="000E2ACD">
        <w:rPr>
          <w:i/>
          <w:iCs/>
          <w:u w:val="single"/>
          <w:lang w:val="en-US"/>
        </w:rPr>
        <w:t>Sustainability, 15</w:t>
      </w:r>
      <w:r w:rsidRPr="000E2ACD">
        <w:rPr>
          <w:u w:val="single"/>
          <w:lang w:val="en-US"/>
        </w:rPr>
        <w:t>(17), 12858. https://doi.org/10.3390/su151712858</w:t>
      </w:r>
    </w:p>
    <w:p w14:paraId="6FEDCBCA" w14:textId="3AE52A2A" w:rsidR="00EF1C33" w:rsidRPr="000E2ACD" w:rsidRDefault="00000000">
      <w:pPr>
        <w:ind w:left="720" w:hanging="720"/>
        <w:rPr>
          <w:lang w:val="en-US"/>
        </w:rPr>
      </w:pPr>
      <w:r w:rsidRPr="000E2ACD">
        <w:rPr>
          <w:lang w:val="en-US"/>
        </w:rPr>
        <w:t xml:space="preserve">Ellen MacArthur Foundation. (2013). </w:t>
      </w:r>
      <w:r w:rsidRPr="000E2ACD">
        <w:rPr>
          <w:i/>
          <w:iCs/>
          <w:lang w:val="en-US"/>
        </w:rPr>
        <w:t>Towards the circular economy: Economic and business rationale for an accelerated transition</w:t>
      </w:r>
      <w:r w:rsidRPr="000E2ACD">
        <w:rPr>
          <w:lang w:val="en-US"/>
        </w:rPr>
        <w:t>. Ellen MacArthur Foundation.</w:t>
      </w:r>
      <w:r w:rsidR="002944DD" w:rsidRPr="009336A2">
        <w:rPr>
          <w:lang w:val="en-US"/>
        </w:rPr>
        <w:t xml:space="preserve"> </w:t>
      </w:r>
      <w:r w:rsidR="002944DD" w:rsidRPr="002944DD">
        <w:rPr>
          <w:lang w:val="en-US"/>
        </w:rPr>
        <w:t>https://www.ellenmacarthurfoundation.org</w:t>
      </w:r>
    </w:p>
    <w:p w14:paraId="10B00A6F" w14:textId="77777777" w:rsidR="00EF1C33" w:rsidRPr="000E2ACD" w:rsidRDefault="00000000">
      <w:pPr>
        <w:ind w:left="720" w:hanging="720"/>
        <w:rPr>
          <w:lang w:val="en-US"/>
        </w:rPr>
      </w:pPr>
      <w:r w:rsidRPr="000E2ACD">
        <w:rPr>
          <w:u w:val="single"/>
          <w:lang w:val="en-US"/>
        </w:rPr>
        <w:t xml:space="preserve">Falih, S., </w:t>
      </w:r>
      <w:proofErr w:type="spellStart"/>
      <w:r w:rsidRPr="000E2ACD">
        <w:rPr>
          <w:u w:val="single"/>
          <w:lang w:val="en-US"/>
        </w:rPr>
        <w:t>Echefaj</w:t>
      </w:r>
      <w:proofErr w:type="spellEnd"/>
      <w:r w:rsidRPr="000E2ACD">
        <w:rPr>
          <w:u w:val="single"/>
          <w:lang w:val="en-US"/>
        </w:rPr>
        <w:t xml:space="preserve">, K., Cherrafi, A., &amp; Charkaoui, A. (2026). Conceptualizing the synergies between circular economy and operational excellence in the era of Industry 5.0. </w:t>
      </w:r>
      <w:r w:rsidRPr="000E2ACD">
        <w:rPr>
          <w:i/>
          <w:iCs/>
          <w:u w:val="single"/>
          <w:lang w:val="en-US"/>
        </w:rPr>
        <w:t>Lecture Notes in Networks and Systems, 1840</w:t>
      </w:r>
      <w:r w:rsidRPr="000E2ACD">
        <w:rPr>
          <w:u w:val="single"/>
          <w:lang w:val="en-US"/>
        </w:rPr>
        <w:t>, 155–163. https://doi.org/10.1007/978-3-032-18548-8_13</w:t>
      </w:r>
    </w:p>
    <w:p w14:paraId="4C8CF627" w14:textId="77777777" w:rsidR="00EF1C33" w:rsidRPr="000E2ACD" w:rsidRDefault="00000000">
      <w:pPr>
        <w:ind w:left="720" w:hanging="720"/>
        <w:rPr>
          <w:lang w:val="en-US"/>
        </w:rPr>
      </w:pPr>
      <w:r w:rsidRPr="000E2ACD">
        <w:rPr>
          <w:u w:val="single"/>
          <w:lang w:val="en-US"/>
        </w:rPr>
        <w:t xml:space="preserve">Farrokhi, M., Gatti, M., &amp; </w:t>
      </w:r>
      <w:proofErr w:type="spellStart"/>
      <w:r w:rsidRPr="000E2ACD">
        <w:rPr>
          <w:u w:val="single"/>
          <w:lang w:val="en-US"/>
        </w:rPr>
        <w:t>Bahrini</w:t>
      </w:r>
      <w:proofErr w:type="spellEnd"/>
      <w:r w:rsidRPr="000E2ACD">
        <w:rPr>
          <w:u w:val="single"/>
          <w:lang w:val="en-US"/>
        </w:rPr>
        <w:t xml:space="preserve">, A. (2026). An analytics-based structural modeling study of circular practices in sustainable supply chains. </w:t>
      </w:r>
      <w:r w:rsidRPr="000E2ACD">
        <w:rPr>
          <w:i/>
          <w:iCs/>
          <w:u w:val="single"/>
          <w:lang w:val="en-US"/>
        </w:rPr>
        <w:t>Supply Chain Analytics, 13</w:t>
      </w:r>
      <w:r w:rsidRPr="000E2ACD">
        <w:rPr>
          <w:u w:val="single"/>
          <w:lang w:val="en-US"/>
        </w:rPr>
        <w:t>, 100196. https://doi.org/10.1016/j.sca.2026.100196</w:t>
      </w:r>
    </w:p>
    <w:p w14:paraId="56CC07FD" w14:textId="77777777" w:rsidR="00EF1C33" w:rsidRDefault="00000000">
      <w:pPr>
        <w:ind w:left="720" w:hanging="720"/>
      </w:pPr>
      <w:r w:rsidRPr="000E2ACD">
        <w:rPr>
          <w:u w:val="single"/>
          <w:lang w:val="en-US"/>
        </w:rPr>
        <w:t xml:space="preserve">Feng, K., Ning, W., Peng, Y., &amp; Zhang, S. (2026). Intelligent sustainable development management in circular economy supply chains: A deep learning and multi-objective optimization framework. </w:t>
      </w:r>
      <w:r>
        <w:rPr>
          <w:i/>
          <w:iCs/>
          <w:u w:val="single"/>
        </w:rPr>
        <w:t>Revista Internacional de Métodos Numéricos para Cálculo y Diseño en Ingeniería, 42</w:t>
      </w:r>
      <w:r>
        <w:rPr>
          <w:u w:val="single"/>
        </w:rPr>
        <w:t>(2). https://doi.org/10.23967/j.rimni.2025.10.73877</w:t>
      </w:r>
    </w:p>
    <w:p w14:paraId="6C5B5C3C" w14:textId="77777777" w:rsidR="00EF1C33" w:rsidRPr="000E2ACD" w:rsidRDefault="00000000">
      <w:pPr>
        <w:ind w:left="720" w:hanging="720"/>
        <w:rPr>
          <w:lang w:val="en-US"/>
        </w:rPr>
      </w:pPr>
      <w:proofErr w:type="spellStart"/>
      <w:r w:rsidRPr="000E2ACD">
        <w:rPr>
          <w:u w:val="single"/>
          <w:lang w:val="en-US"/>
        </w:rPr>
        <w:t>Findik</w:t>
      </w:r>
      <w:proofErr w:type="spellEnd"/>
      <w:r w:rsidRPr="000E2ACD">
        <w:rPr>
          <w:u w:val="single"/>
          <w:lang w:val="en-US"/>
        </w:rPr>
        <w:t xml:space="preserve">, D., </w:t>
      </w:r>
      <w:proofErr w:type="spellStart"/>
      <w:r w:rsidRPr="000E2ACD">
        <w:rPr>
          <w:u w:val="single"/>
          <w:lang w:val="en-US"/>
        </w:rPr>
        <w:t>Tirgil</w:t>
      </w:r>
      <w:proofErr w:type="spellEnd"/>
      <w:r w:rsidRPr="000E2ACD">
        <w:rPr>
          <w:u w:val="single"/>
          <w:lang w:val="en-US"/>
        </w:rPr>
        <w:t xml:space="preserve">, A., &amp; </w:t>
      </w:r>
      <w:proofErr w:type="spellStart"/>
      <w:r w:rsidRPr="000E2ACD">
        <w:rPr>
          <w:u w:val="single"/>
          <w:lang w:val="en-US"/>
        </w:rPr>
        <w:t>Özbuğday</w:t>
      </w:r>
      <w:proofErr w:type="spellEnd"/>
      <w:r w:rsidRPr="000E2ACD">
        <w:rPr>
          <w:u w:val="single"/>
          <w:lang w:val="en-US"/>
        </w:rPr>
        <w:t xml:space="preserve">, F. C. (2023). Industry 4.0 as an enabler of circular economy practices: Evidence from European SMEs. </w:t>
      </w:r>
      <w:r w:rsidRPr="000E2ACD">
        <w:rPr>
          <w:i/>
          <w:iCs/>
          <w:u w:val="single"/>
          <w:lang w:val="en-US"/>
        </w:rPr>
        <w:t>Journal of Cleaner Production, 410</w:t>
      </w:r>
      <w:r w:rsidRPr="000E2ACD">
        <w:rPr>
          <w:u w:val="single"/>
          <w:lang w:val="en-US"/>
        </w:rPr>
        <w:t>, 137281. https://doi.org/10.1016/j.jclepro.2023.137281</w:t>
      </w:r>
    </w:p>
    <w:p w14:paraId="07EE5626" w14:textId="77777777" w:rsidR="00EF1C33" w:rsidRPr="000E2ACD" w:rsidRDefault="00000000">
      <w:pPr>
        <w:ind w:left="720" w:hanging="720"/>
        <w:rPr>
          <w:lang w:val="en-US"/>
        </w:rPr>
      </w:pPr>
      <w:r w:rsidRPr="000E2ACD">
        <w:rPr>
          <w:u w:val="single"/>
          <w:lang w:val="en-US"/>
        </w:rPr>
        <w:t xml:space="preserve">Friede, G., Busch, T., &amp; Bassen, A. (2015). ESG and financial performance: Aggregated evidence from more than 2000 empirical studies. </w:t>
      </w:r>
      <w:r w:rsidRPr="000E2ACD">
        <w:rPr>
          <w:i/>
          <w:iCs/>
          <w:u w:val="single"/>
          <w:lang w:val="en-US"/>
        </w:rPr>
        <w:t>Journal of Sustainable Finance &amp; Investment, 5</w:t>
      </w:r>
      <w:r w:rsidRPr="000E2ACD">
        <w:rPr>
          <w:u w:val="single"/>
          <w:lang w:val="en-US"/>
        </w:rPr>
        <w:t>(4), 210–233. https://doi.org/10.1080/20430795.2015.1118917</w:t>
      </w:r>
    </w:p>
    <w:p w14:paraId="5D6B9617" w14:textId="77777777" w:rsidR="00EF1C33" w:rsidRPr="000E2ACD" w:rsidRDefault="00000000">
      <w:pPr>
        <w:ind w:left="720" w:hanging="720"/>
        <w:rPr>
          <w:lang w:val="en-US"/>
        </w:rPr>
      </w:pPr>
      <w:r w:rsidRPr="000E2ACD">
        <w:rPr>
          <w:u w:val="single"/>
          <w:lang w:val="en-US"/>
        </w:rPr>
        <w:lastRenderedPageBreak/>
        <w:t xml:space="preserve">Geissdoerfer, M., </w:t>
      </w:r>
      <w:proofErr w:type="spellStart"/>
      <w:r w:rsidRPr="000E2ACD">
        <w:rPr>
          <w:u w:val="single"/>
          <w:lang w:val="en-US"/>
        </w:rPr>
        <w:t>Savaget</w:t>
      </w:r>
      <w:proofErr w:type="spellEnd"/>
      <w:r w:rsidRPr="000E2ACD">
        <w:rPr>
          <w:u w:val="single"/>
          <w:lang w:val="en-US"/>
        </w:rPr>
        <w:t xml:space="preserve">, P., Bocken, N. M. P., &amp; </w:t>
      </w:r>
      <w:proofErr w:type="spellStart"/>
      <w:r w:rsidRPr="000E2ACD">
        <w:rPr>
          <w:u w:val="single"/>
          <w:lang w:val="en-US"/>
        </w:rPr>
        <w:t>Hultink</w:t>
      </w:r>
      <w:proofErr w:type="spellEnd"/>
      <w:r w:rsidRPr="000E2ACD">
        <w:rPr>
          <w:u w:val="single"/>
          <w:lang w:val="en-US"/>
        </w:rPr>
        <w:t xml:space="preserve">, E. J. (2017). The circular economy – A new sustainability paradigm? </w:t>
      </w:r>
      <w:r w:rsidRPr="000E2ACD">
        <w:rPr>
          <w:i/>
          <w:iCs/>
          <w:u w:val="single"/>
          <w:lang w:val="en-US"/>
        </w:rPr>
        <w:t>Journal of Cleaner Production, 143</w:t>
      </w:r>
      <w:r w:rsidRPr="000E2ACD">
        <w:rPr>
          <w:u w:val="single"/>
          <w:lang w:val="en-US"/>
        </w:rPr>
        <w:t>, 757–768. https://doi.org/10.1016/j.jclepro.2016.12.048</w:t>
      </w:r>
    </w:p>
    <w:p w14:paraId="0369E998" w14:textId="77777777" w:rsidR="00EF1C33" w:rsidRPr="000E2ACD" w:rsidRDefault="00000000">
      <w:pPr>
        <w:ind w:left="720" w:hanging="720"/>
        <w:rPr>
          <w:lang w:val="en-US"/>
        </w:rPr>
      </w:pPr>
      <w:proofErr w:type="spellStart"/>
      <w:r w:rsidRPr="000E2ACD">
        <w:rPr>
          <w:u w:val="single"/>
          <w:lang w:val="en-US"/>
        </w:rPr>
        <w:t>Ghobakhloo</w:t>
      </w:r>
      <w:proofErr w:type="spellEnd"/>
      <w:r w:rsidRPr="000E2ACD">
        <w:rPr>
          <w:u w:val="single"/>
          <w:lang w:val="en-US"/>
        </w:rPr>
        <w:t xml:space="preserve">, M. (2020). Industry 4.0, digitization, and opportunities for sustainability. </w:t>
      </w:r>
      <w:r w:rsidRPr="000E2ACD">
        <w:rPr>
          <w:i/>
          <w:iCs/>
          <w:u w:val="single"/>
          <w:lang w:val="en-US"/>
        </w:rPr>
        <w:t>Journal of Cleaner Production, 252</w:t>
      </w:r>
      <w:r w:rsidRPr="000E2ACD">
        <w:rPr>
          <w:u w:val="single"/>
          <w:lang w:val="en-US"/>
        </w:rPr>
        <w:t>, 119869. https://doi.org/10.1016/j.jclepro.2019.119869</w:t>
      </w:r>
    </w:p>
    <w:p w14:paraId="11331BA7" w14:textId="77777777" w:rsidR="00EF1C33" w:rsidRPr="000E2ACD" w:rsidRDefault="00000000">
      <w:pPr>
        <w:ind w:left="720" w:hanging="720"/>
        <w:rPr>
          <w:lang w:val="en-US"/>
        </w:rPr>
      </w:pPr>
      <w:r w:rsidRPr="000E2ACD">
        <w:rPr>
          <w:u w:val="single"/>
          <w:lang w:val="en-US"/>
        </w:rPr>
        <w:t xml:space="preserve">Gillan, S. L., Koch, A., &amp; Starks, L. T. (2021). Firms and social responsibility: A review of ESG and CSR research in corporate finance. </w:t>
      </w:r>
      <w:r w:rsidRPr="000E2ACD">
        <w:rPr>
          <w:i/>
          <w:iCs/>
          <w:u w:val="single"/>
          <w:lang w:val="en-US"/>
        </w:rPr>
        <w:t>Journal of Corporate Finance, 66</w:t>
      </w:r>
      <w:r w:rsidRPr="000E2ACD">
        <w:rPr>
          <w:u w:val="single"/>
          <w:lang w:val="en-US"/>
        </w:rPr>
        <w:t>, 101889. https://doi.org/10.1016/j.jcorpfin.2021.101889</w:t>
      </w:r>
    </w:p>
    <w:p w14:paraId="70B88851" w14:textId="77777777" w:rsidR="00EF1C33" w:rsidRPr="000E2ACD" w:rsidRDefault="00000000">
      <w:pPr>
        <w:ind w:left="720" w:hanging="720"/>
        <w:rPr>
          <w:lang w:val="en-US"/>
        </w:rPr>
      </w:pPr>
      <w:r w:rsidRPr="000E2ACD">
        <w:rPr>
          <w:u w:val="single"/>
          <w:lang w:val="en-US"/>
        </w:rPr>
        <w:t xml:space="preserve">Govindan, K., Soleimani, H., &amp; Kannan, D. (2015). Reverse logistics and closed-loop supply chain: A comprehensive review to explore the future. </w:t>
      </w:r>
      <w:r w:rsidRPr="000E2ACD">
        <w:rPr>
          <w:i/>
          <w:iCs/>
          <w:u w:val="single"/>
          <w:lang w:val="en-US"/>
        </w:rPr>
        <w:t>European Journal of Operational Research, 240</w:t>
      </w:r>
      <w:r w:rsidRPr="000E2ACD">
        <w:rPr>
          <w:u w:val="single"/>
          <w:lang w:val="en-US"/>
        </w:rPr>
        <w:t>(3), 603–626. https://doi.org/10.1016/j.ejor.2014.07.012</w:t>
      </w:r>
    </w:p>
    <w:p w14:paraId="72528388" w14:textId="77777777" w:rsidR="00EF1C33" w:rsidRPr="000E2ACD" w:rsidRDefault="00000000">
      <w:pPr>
        <w:ind w:left="720" w:hanging="720"/>
        <w:rPr>
          <w:lang w:val="en-US"/>
        </w:rPr>
      </w:pPr>
      <w:proofErr w:type="spellStart"/>
      <w:r>
        <w:rPr>
          <w:u w:val="single"/>
        </w:rPr>
        <w:t>Hernandez</w:t>
      </w:r>
      <w:proofErr w:type="spellEnd"/>
      <w:r>
        <w:rPr>
          <w:u w:val="single"/>
        </w:rPr>
        <w:t xml:space="preserve"> Marquina, M. V., Le Dain, M.-A., Zwolinski, P., &amp; Joly, I. (2022). </w:t>
      </w:r>
      <w:r w:rsidRPr="000E2ACD">
        <w:rPr>
          <w:u w:val="single"/>
          <w:lang w:val="en-US"/>
        </w:rPr>
        <w:t xml:space="preserve">Sustainable performance of circular supply chains: A literature review. </w:t>
      </w:r>
      <w:r w:rsidRPr="000E2ACD">
        <w:rPr>
          <w:i/>
          <w:iCs/>
          <w:u w:val="single"/>
          <w:lang w:val="en-US"/>
        </w:rPr>
        <w:t>Procedia CIRP, 105</w:t>
      </w:r>
      <w:r w:rsidRPr="000E2ACD">
        <w:rPr>
          <w:u w:val="single"/>
          <w:lang w:val="en-US"/>
        </w:rPr>
        <w:t>, 607–612. https://doi.org/10.1016/j.procir.2022.02.101</w:t>
      </w:r>
    </w:p>
    <w:p w14:paraId="628CFF33" w14:textId="77777777" w:rsidR="00EF1C33" w:rsidRPr="000E2ACD" w:rsidRDefault="00000000">
      <w:pPr>
        <w:ind w:left="720" w:hanging="720"/>
        <w:rPr>
          <w:lang w:val="en-US"/>
        </w:rPr>
      </w:pPr>
      <w:proofErr w:type="spellStart"/>
      <w:r w:rsidRPr="000E2ACD">
        <w:rPr>
          <w:u w:val="single"/>
          <w:lang w:val="en-US"/>
        </w:rPr>
        <w:t>Hertwich</w:t>
      </w:r>
      <w:proofErr w:type="spellEnd"/>
      <w:r w:rsidRPr="000E2ACD">
        <w:rPr>
          <w:u w:val="single"/>
          <w:lang w:val="en-US"/>
        </w:rPr>
        <w:t xml:space="preserve">, E. G., &amp; Wood, R. (2018). The growing importance of scope 3 greenhouse gas emissions from industry. </w:t>
      </w:r>
      <w:r w:rsidRPr="000E2ACD">
        <w:rPr>
          <w:i/>
          <w:iCs/>
          <w:u w:val="single"/>
          <w:lang w:val="en-US"/>
        </w:rPr>
        <w:t>Environmental Research Letters, 13</w:t>
      </w:r>
      <w:r w:rsidRPr="000E2ACD">
        <w:rPr>
          <w:u w:val="single"/>
          <w:lang w:val="en-US"/>
        </w:rPr>
        <w:t>(10), 104013. https://doi.org/10.1088/1748-9326/aae19a</w:t>
      </w:r>
    </w:p>
    <w:p w14:paraId="56273F09" w14:textId="77777777" w:rsidR="00EF1C33" w:rsidRPr="000E2ACD" w:rsidRDefault="00000000">
      <w:pPr>
        <w:ind w:left="720" w:hanging="720"/>
        <w:rPr>
          <w:lang w:val="en-US"/>
        </w:rPr>
      </w:pPr>
      <w:r w:rsidRPr="000E2ACD">
        <w:rPr>
          <w:u w:val="single"/>
          <w:lang w:val="en-US"/>
        </w:rPr>
        <w:t>Hettler, M., &amp; Graf-</w:t>
      </w:r>
      <w:proofErr w:type="spellStart"/>
      <w:r w:rsidRPr="000E2ACD">
        <w:rPr>
          <w:u w:val="single"/>
          <w:lang w:val="en-US"/>
        </w:rPr>
        <w:t>Vlachy</w:t>
      </w:r>
      <w:proofErr w:type="spellEnd"/>
      <w:r w:rsidRPr="000E2ACD">
        <w:rPr>
          <w:u w:val="single"/>
          <w:lang w:val="en-US"/>
        </w:rPr>
        <w:t xml:space="preserve">, L. (2024). Corporate scope 3 carbon emission reporting as an enabler of supply chain decarbonization: A systematic review and comprehensive research agenda. </w:t>
      </w:r>
      <w:r w:rsidRPr="000E2ACD">
        <w:rPr>
          <w:i/>
          <w:iCs/>
          <w:u w:val="single"/>
          <w:lang w:val="en-US"/>
        </w:rPr>
        <w:t>Business Strategy and the Environment, 33</w:t>
      </w:r>
      <w:r w:rsidRPr="000E2ACD">
        <w:rPr>
          <w:u w:val="single"/>
          <w:lang w:val="en-US"/>
        </w:rPr>
        <w:t>(2), 263–282. https://doi.org/10.1002/bse.3486</w:t>
      </w:r>
    </w:p>
    <w:p w14:paraId="3AAA319C" w14:textId="77777777" w:rsidR="00EF1C33" w:rsidRPr="000E2ACD" w:rsidRDefault="00000000">
      <w:pPr>
        <w:ind w:left="720" w:hanging="720"/>
        <w:rPr>
          <w:lang w:val="en-US"/>
        </w:rPr>
      </w:pPr>
      <w:r w:rsidRPr="000E2ACD">
        <w:rPr>
          <w:u w:val="single"/>
          <w:lang w:val="en-US"/>
        </w:rPr>
        <w:lastRenderedPageBreak/>
        <w:t xml:space="preserve">Ivanov, D. (2023). The </w:t>
      </w:r>
      <w:proofErr w:type="gramStart"/>
      <w:r w:rsidRPr="000E2ACD">
        <w:rPr>
          <w:u w:val="single"/>
          <w:lang w:val="en-US"/>
        </w:rPr>
        <w:t>Industry</w:t>
      </w:r>
      <w:proofErr w:type="gramEnd"/>
      <w:r w:rsidRPr="000E2ACD">
        <w:rPr>
          <w:u w:val="single"/>
          <w:lang w:val="en-US"/>
        </w:rPr>
        <w:t xml:space="preserve"> 5.0 framework: Viability-based integration of the resilience, sustainability and human-centricity perspectives. </w:t>
      </w:r>
      <w:r w:rsidRPr="000E2ACD">
        <w:rPr>
          <w:i/>
          <w:iCs/>
          <w:u w:val="single"/>
          <w:lang w:val="en-US"/>
        </w:rPr>
        <w:t>International Journal of Production Research, 61</w:t>
      </w:r>
      <w:r w:rsidRPr="000E2ACD">
        <w:rPr>
          <w:u w:val="single"/>
          <w:lang w:val="en-US"/>
        </w:rPr>
        <w:t>(5), 1683–1695. https://doi.org/10.1080/00207543.2022.2118892</w:t>
      </w:r>
    </w:p>
    <w:p w14:paraId="2E3DF262" w14:textId="77777777" w:rsidR="00EF1C33" w:rsidRPr="000E2ACD" w:rsidRDefault="00000000">
      <w:pPr>
        <w:ind w:left="720" w:hanging="720"/>
        <w:rPr>
          <w:lang w:val="en-US"/>
        </w:rPr>
      </w:pPr>
      <w:r w:rsidRPr="000E2ACD">
        <w:rPr>
          <w:u w:val="single"/>
          <w:lang w:val="en-US"/>
        </w:rPr>
        <w:t xml:space="preserve">Iyiola, K. (2026). Circular economy entrepreneurship as a pillar of circular supply chain sustainability: The roles of circular economy capability and net zero policy. </w:t>
      </w:r>
      <w:r w:rsidRPr="000E2ACD">
        <w:rPr>
          <w:i/>
          <w:iCs/>
          <w:u w:val="single"/>
          <w:lang w:val="en-US"/>
        </w:rPr>
        <w:t>Journal of Circular Economy, 3</w:t>
      </w:r>
      <w:r w:rsidRPr="000E2ACD">
        <w:rPr>
          <w:u w:val="single"/>
          <w:lang w:val="en-US"/>
        </w:rPr>
        <w:t>(4), 23–49. https://doi.org/10.55845/joce-2026-34249</w:t>
      </w:r>
    </w:p>
    <w:p w14:paraId="198862BC" w14:textId="77777777" w:rsidR="00EF1C33" w:rsidRPr="000E2ACD" w:rsidRDefault="00000000">
      <w:pPr>
        <w:ind w:left="720" w:hanging="720"/>
        <w:rPr>
          <w:lang w:val="en-US"/>
        </w:rPr>
      </w:pPr>
      <w:r w:rsidRPr="000E2ACD">
        <w:rPr>
          <w:u w:val="single"/>
          <w:lang w:val="en-US"/>
        </w:rPr>
        <w:t xml:space="preserve">Jadallah, N. I., Dudin, F. E., &amp; Awwad, B. (2026). From linear to circular: Supply chain business models for a regenerative economy. </w:t>
      </w:r>
      <w:r w:rsidRPr="000E2ACD">
        <w:rPr>
          <w:i/>
          <w:iCs/>
          <w:u w:val="single"/>
          <w:lang w:val="en-US"/>
        </w:rPr>
        <w:t>Contributions to Environmental Sciences and Innovative Business Technology, 2026</w:t>
      </w:r>
      <w:r w:rsidRPr="000E2ACD">
        <w:rPr>
          <w:u w:val="single"/>
          <w:lang w:val="en-US"/>
        </w:rPr>
        <w:t>, 95–110. https://doi.org/10.1007/978-981-95-6469-9_8</w:t>
      </w:r>
    </w:p>
    <w:p w14:paraId="20408491" w14:textId="77777777" w:rsidR="00EF1C33" w:rsidRPr="000E2ACD" w:rsidRDefault="00000000">
      <w:pPr>
        <w:ind w:left="720" w:hanging="720"/>
        <w:rPr>
          <w:lang w:val="en-US"/>
        </w:rPr>
      </w:pPr>
      <w:r w:rsidRPr="000E2ACD">
        <w:rPr>
          <w:u w:val="single"/>
          <w:lang w:val="en-US"/>
        </w:rPr>
        <w:t xml:space="preserve">Jensen, S. F., Kristensen, J. H., Adamsen, S., Christensen, A., &amp; </w:t>
      </w:r>
      <w:proofErr w:type="spellStart"/>
      <w:r w:rsidRPr="000E2ACD">
        <w:rPr>
          <w:u w:val="single"/>
          <w:lang w:val="en-US"/>
        </w:rPr>
        <w:t>Waehrens</w:t>
      </w:r>
      <w:proofErr w:type="spellEnd"/>
      <w:r w:rsidRPr="000E2ACD">
        <w:rPr>
          <w:u w:val="single"/>
          <w:lang w:val="en-US"/>
        </w:rPr>
        <w:t xml:space="preserve">, B. V. (2023). Digital product passports for a circular economy: Data needs for product life cycle decision-making. </w:t>
      </w:r>
      <w:r w:rsidRPr="000E2ACD">
        <w:rPr>
          <w:i/>
          <w:iCs/>
          <w:u w:val="single"/>
          <w:lang w:val="en-US"/>
        </w:rPr>
        <w:t>Sustainable Production and Consumption, 37</w:t>
      </w:r>
      <w:r w:rsidRPr="000E2ACD">
        <w:rPr>
          <w:u w:val="single"/>
          <w:lang w:val="en-US"/>
        </w:rPr>
        <w:t>, 242–255. https://doi.org/10.1016/j.spc.2023.02.021</w:t>
      </w:r>
    </w:p>
    <w:p w14:paraId="662A5FFA" w14:textId="77777777" w:rsidR="00EF1C33" w:rsidRPr="000E2ACD" w:rsidRDefault="00000000">
      <w:pPr>
        <w:ind w:left="720" w:hanging="720"/>
        <w:rPr>
          <w:lang w:val="en-US"/>
        </w:rPr>
      </w:pPr>
      <w:r w:rsidRPr="000E2ACD">
        <w:rPr>
          <w:u w:val="single"/>
          <w:lang w:val="en-US"/>
        </w:rPr>
        <w:t xml:space="preserve">Khan, A. A., &amp; Abonyi, J. (2022). Simulation of sustainable manufacturing solutions: Tools for enabling circular economy. </w:t>
      </w:r>
      <w:r w:rsidRPr="000E2ACD">
        <w:rPr>
          <w:i/>
          <w:iCs/>
          <w:u w:val="single"/>
          <w:lang w:val="en-US"/>
        </w:rPr>
        <w:t>Sustainability, 14</w:t>
      </w:r>
      <w:r w:rsidRPr="000E2ACD">
        <w:rPr>
          <w:u w:val="single"/>
          <w:lang w:val="en-US"/>
        </w:rPr>
        <w:t>(15), 9796. https://doi.org/10.3390/su14159796</w:t>
      </w:r>
    </w:p>
    <w:p w14:paraId="02B0E798" w14:textId="77777777" w:rsidR="00EF1C33" w:rsidRPr="000E2ACD" w:rsidRDefault="00000000">
      <w:pPr>
        <w:ind w:left="720" w:hanging="720"/>
        <w:rPr>
          <w:lang w:val="en-US"/>
        </w:rPr>
      </w:pPr>
      <w:r w:rsidRPr="000E2ACD">
        <w:rPr>
          <w:u w:val="single"/>
          <w:lang w:val="en-US"/>
        </w:rPr>
        <w:t xml:space="preserve">Khan, M., Ajmal, M. M., Jabeen, F., Talwar, S., &amp; Dhir, A. (2023). Green supply chain management in manufacturing firms: A resource-based viewpoint. </w:t>
      </w:r>
      <w:r w:rsidRPr="000E2ACD">
        <w:rPr>
          <w:i/>
          <w:iCs/>
          <w:u w:val="single"/>
          <w:lang w:val="en-US"/>
        </w:rPr>
        <w:t>Business Strategy and the Environment, 32</w:t>
      </w:r>
      <w:r w:rsidRPr="000E2ACD">
        <w:rPr>
          <w:u w:val="single"/>
          <w:lang w:val="en-US"/>
        </w:rPr>
        <w:t>(4). https://doi.org/10.1002/bse.3207</w:t>
      </w:r>
    </w:p>
    <w:p w14:paraId="57B169AA" w14:textId="77777777" w:rsidR="00EF1C33" w:rsidRPr="000E2ACD" w:rsidRDefault="00000000">
      <w:pPr>
        <w:ind w:left="720" w:hanging="720"/>
        <w:rPr>
          <w:lang w:val="en-US"/>
        </w:rPr>
      </w:pPr>
      <w:r w:rsidRPr="000E2ACD">
        <w:rPr>
          <w:u w:val="single"/>
          <w:lang w:val="en-US"/>
        </w:rPr>
        <w:t xml:space="preserve">Khan, M., Serafeim, G., &amp; Yoon, A. (2016). Corporate sustainability: First evidence on materiality. </w:t>
      </w:r>
      <w:r w:rsidRPr="000E2ACD">
        <w:rPr>
          <w:i/>
          <w:iCs/>
          <w:u w:val="single"/>
          <w:lang w:val="en-US"/>
        </w:rPr>
        <w:t>The Accounting Review, 91</w:t>
      </w:r>
      <w:r w:rsidRPr="000E2ACD">
        <w:rPr>
          <w:u w:val="single"/>
          <w:lang w:val="en-US"/>
        </w:rPr>
        <w:t>(6), 1697–1724. https://doi.org/10.2308/accr-51383</w:t>
      </w:r>
    </w:p>
    <w:p w14:paraId="4C2F887C" w14:textId="77777777" w:rsidR="00EF1C33" w:rsidRPr="000E2ACD" w:rsidRDefault="00000000">
      <w:pPr>
        <w:ind w:left="720" w:hanging="720"/>
        <w:rPr>
          <w:lang w:val="en-US"/>
        </w:rPr>
      </w:pPr>
      <w:r w:rsidRPr="000E2ACD">
        <w:rPr>
          <w:u w:val="single"/>
          <w:lang w:val="en-US"/>
        </w:rPr>
        <w:lastRenderedPageBreak/>
        <w:t xml:space="preserve">Kirchherr, J., </w:t>
      </w:r>
      <w:proofErr w:type="spellStart"/>
      <w:r w:rsidRPr="000E2ACD">
        <w:rPr>
          <w:u w:val="single"/>
          <w:lang w:val="en-US"/>
        </w:rPr>
        <w:t>Reike</w:t>
      </w:r>
      <w:proofErr w:type="spellEnd"/>
      <w:r w:rsidRPr="000E2ACD">
        <w:rPr>
          <w:u w:val="single"/>
          <w:lang w:val="en-US"/>
        </w:rPr>
        <w:t xml:space="preserve">, D., &amp; Hekkert, M. (2017). Conceptualizing the circular economy: An analysis of 114 definitions. </w:t>
      </w:r>
      <w:r w:rsidRPr="000E2ACD">
        <w:rPr>
          <w:i/>
          <w:iCs/>
          <w:u w:val="single"/>
          <w:lang w:val="en-US"/>
        </w:rPr>
        <w:t>Resources, Conservation and Recycling, 127</w:t>
      </w:r>
      <w:r w:rsidRPr="000E2ACD">
        <w:rPr>
          <w:u w:val="single"/>
          <w:lang w:val="en-US"/>
        </w:rPr>
        <w:t>, 221–232. https://doi.org/10.1016/j.resconrec.2017.09.005</w:t>
      </w:r>
    </w:p>
    <w:p w14:paraId="5693D2D7" w14:textId="77777777" w:rsidR="00EF1C33" w:rsidRPr="000E2ACD" w:rsidRDefault="00000000">
      <w:pPr>
        <w:ind w:left="720" w:hanging="720"/>
        <w:rPr>
          <w:lang w:val="en-US"/>
        </w:rPr>
      </w:pPr>
      <w:proofErr w:type="spellStart"/>
      <w:r w:rsidRPr="000E2ACD">
        <w:rPr>
          <w:u w:val="single"/>
          <w:lang w:val="en-US"/>
        </w:rPr>
        <w:t>Lahane</w:t>
      </w:r>
      <w:proofErr w:type="spellEnd"/>
      <w:r w:rsidRPr="000E2ACD">
        <w:rPr>
          <w:u w:val="single"/>
          <w:lang w:val="en-US"/>
        </w:rPr>
        <w:t xml:space="preserve">, S., &amp; Kant, R. (2022). Investigating the sustainable development goals derived due to adoption of circular economy practices. </w:t>
      </w:r>
      <w:r w:rsidRPr="000E2ACD">
        <w:rPr>
          <w:i/>
          <w:iCs/>
          <w:u w:val="single"/>
          <w:lang w:val="en-US"/>
        </w:rPr>
        <w:t>Waste Management, 143</w:t>
      </w:r>
      <w:r w:rsidRPr="000E2ACD">
        <w:rPr>
          <w:u w:val="single"/>
          <w:lang w:val="en-US"/>
        </w:rPr>
        <w:t>, 1–14. https://doi.org/10.1016/j.wasman.2022.02.016</w:t>
      </w:r>
    </w:p>
    <w:p w14:paraId="000C5B20" w14:textId="77777777" w:rsidR="00EF1C33" w:rsidRPr="000E2ACD" w:rsidRDefault="00000000">
      <w:pPr>
        <w:ind w:left="720" w:hanging="720"/>
        <w:rPr>
          <w:lang w:val="en-US"/>
        </w:rPr>
      </w:pPr>
      <w:r w:rsidRPr="000E2ACD">
        <w:rPr>
          <w:u w:val="single"/>
          <w:lang w:val="en-US"/>
        </w:rPr>
        <w:t xml:space="preserve">Langley, D. J., Rosca, E., Angelopoulos, M., Kamminga, O., &amp; </w:t>
      </w:r>
      <w:proofErr w:type="spellStart"/>
      <w:r w:rsidRPr="000E2ACD">
        <w:rPr>
          <w:u w:val="single"/>
          <w:lang w:val="en-US"/>
        </w:rPr>
        <w:t>Hooijer</w:t>
      </w:r>
      <w:proofErr w:type="spellEnd"/>
      <w:r w:rsidRPr="000E2ACD">
        <w:rPr>
          <w:u w:val="single"/>
          <w:lang w:val="en-US"/>
        </w:rPr>
        <w:t xml:space="preserve">, C. (2023). Orchestrating a smart circular economy: Guiding principles for digital product passports. </w:t>
      </w:r>
      <w:r w:rsidRPr="000E2ACD">
        <w:rPr>
          <w:i/>
          <w:iCs/>
          <w:u w:val="single"/>
          <w:lang w:val="en-US"/>
        </w:rPr>
        <w:t>Journal of Business Research, 169</w:t>
      </w:r>
      <w:r w:rsidRPr="000E2ACD">
        <w:rPr>
          <w:u w:val="single"/>
          <w:lang w:val="en-US"/>
        </w:rPr>
        <w:t>, 114259. https://doi.org/10.1016/j.jbusres.2023.114259</w:t>
      </w:r>
    </w:p>
    <w:p w14:paraId="75108601" w14:textId="77777777" w:rsidR="00EF1C33" w:rsidRPr="000E2ACD" w:rsidRDefault="00000000">
      <w:pPr>
        <w:ind w:left="720" w:hanging="720"/>
        <w:rPr>
          <w:lang w:val="en-US"/>
        </w:rPr>
      </w:pPr>
      <w:r w:rsidRPr="000E2ACD">
        <w:rPr>
          <w:u w:val="single"/>
          <w:lang w:val="en-US"/>
        </w:rPr>
        <w:t xml:space="preserve">Leng, J., Sha, W., Wang, B., Zheng, P., Zhuang, C., Liu, Q., Wuest, T., </w:t>
      </w:r>
      <w:proofErr w:type="spellStart"/>
      <w:r w:rsidRPr="000E2ACD">
        <w:rPr>
          <w:u w:val="single"/>
          <w:lang w:val="en-US"/>
        </w:rPr>
        <w:t>Mourtzis</w:t>
      </w:r>
      <w:proofErr w:type="spellEnd"/>
      <w:r w:rsidRPr="000E2ACD">
        <w:rPr>
          <w:u w:val="single"/>
          <w:lang w:val="en-US"/>
        </w:rPr>
        <w:t xml:space="preserve">, D., &amp; Wang, L. (2022). Industry 5.0: Prospect and retrospect. </w:t>
      </w:r>
      <w:r w:rsidRPr="000E2ACD">
        <w:rPr>
          <w:i/>
          <w:iCs/>
          <w:u w:val="single"/>
          <w:lang w:val="en-US"/>
        </w:rPr>
        <w:t>Journal of Manufacturing Systems, 65</w:t>
      </w:r>
      <w:r w:rsidRPr="000E2ACD">
        <w:rPr>
          <w:u w:val="single"/>
          <w:lang w:val="en-US"/>
        </w:rPr>
        <w:t>, 279–295. https://doi.org/10.1016/j.jmsy.2022.09.017</w:t>
      </w:r>
    </w:p>
    <w:p w14:paraId="15F1DB17" w14:textId="77777777" w:rsidR="00EF1C33" w:rsidRPr="000E2ACD" w:rsidRDefault="00000000">
      <w:pPr>
        <w:ind w:left="720" w:hanging="720"/>
        <w:rPr>
          <w:lang w:val="en-US"/>
        </w:rPr>
      </w:pPr>
      <w:r>
        <w:rPr>
          <w:u w:val="single"/>
        </w:rPr>
        <w:t xml:space="preserve">Li, Z., Han, X., &amp; Zhang, T. (2026). </w:t>
      </w:r>
      <w:r w:rsidRPr="000E2ACD">
        <w:rPr>
          <w:u w:val="single"/>
          <w:lang w:val="en-US"/>
        </w:rPr>
        <w:t xml:space="preserve">Economic and environmental trade-offs in circular food systems: Toward cleaner agricultural production and responsible consumption. </w:t>
      </w:r>
      <w:r w:rsidRPr="000E2ACD">
        <w:rPr>
          <w:i/>
          <w:iCs/>
          <w:u w:val="single"/>
          <w:lang w:val="en-US"/>
        </w:rPr>
        <w:t>Journal of Cleaner Production, 572</w:t>
      </w:r>
      <w:r w:rsidRPr="000E2ACD">
        <w:rPr>
          <w:u w:val="single"/>
          <w:lang w:val="en-US"/>
        </w:rPr>
        <w:t>, 148878. https://doi.org/10.1016/j.jclepro.2026.148878</w:t>
      </w:r>
    </w:p>
    <w:p w14:paraId="7A6EB2E1" w14:textId="77777777" w:rsidR="00EF1C33" w:rsidRPr="000E2ACD" w:rsidRDefault="00000000">
      <w:pPr>
        <w:ind w:left="720" w:hanging="720"/>
        <w:rPr>
          <w:lang w:val="en-US"/>
        </w:rPr>
      </w:pPr>
      <w:r w:rsidRPr="000E2ACD">
        <w:rPr>
          <w:u w:val="single"/>
          <w:lang w:val="en-US"/>
        </w:rPr>
        <w:t xml:space="preserve">Lieder, M., &amp; Rashid, A. (2016). Towards circular economy implementation: A comprehensive review in context of manufacturing industry. </w:t>
      </w:r>
      <w:r w:rsidRPr="000E2ACD">
        <w:rPr>
          <w:i/>
          <w:iCs/>
          <w:u w:val="single"/>
          <w:lang w:val="en-US"/>
        </w:rPr>
        <w:t>Journal of Cleaner Production, 115</w:t>
      </w:r>
      <w:r w:rsidRPr="000E2ACD">
        <w:rPr>
          <w:u w:val="single"/>
          <w:lang w:val="en-US"/>
        </w:rPr>
        <w:t>, 36–51. https://doi.org/10.1016/j.jclepro.2015.12.042</w:t>
      </w:r>
    </w:p>
    <w:p w14:paraId="03D1646B" w14:textId="77777777" w:rsidR="00EF1C33" w:rsidRPr="000E2ACD" w:rsidRDefault="00000000">
      <w:pPr>
        <w:ind w:left="720" w:hanging="720"/>
        <w:rPr>
          <w:lang w:val="en-US"/>
        </w:rPr>
      </w:pPr>
      <w:proofErr w:type="spellStart"/>
      <w:r w:rsidRPr="000E2ACD">
        <w:rPr>
          <w:u w:val="single"/>
          <w:lang w:val="en-US"/>
        </w:rPr>
        <w:t>Maddikunta</w:t>
      </w:r>
      <w:proofErr w:type="spellEnd"/>
      <w:r w:rsidRPr="000E2ACD">
        <w:rPr>
          <w:u w:val="single"/>
          <w:lang w:val="en-US"/>
        </w:rPr>
        <w:t xml:space="preserve">, P. K. R., Pham, Q.-V., Prabadevi, B., Deepa, N., Dev, K., </w:t>
      </w:r>
      <w:proofErr w:type="spellStart"/>
      <w:r w:rsidRPr="000E2ACD">
        <w:rPr>
          <w:u w:val="single"/>
          <w:lang w:val="en-US"/>
        </w:rPr>
        <w:t>Gadekallu</w:t>
      </w:r>
      <w:proofErr w:type="spellEnd"/>
      <w:r w:rsidRPr="000E2ACD">
        <w:rPr>
          <w:u w:val="single"/>
          <w:lang w:val="en-US"/>
        </w:rPr>
        <w:t xml:space="preserve">, T. R., Ruby, R., &amp; Liyanage, M. (2022). Industry 5.0: A survey on enabling technologies and potential applications. </w:t>
      </w:r>
      <w:r w:rsidRPr="000E2ACD">
        <w:rPr>
          <w:i/>
          <w:iCs/>
          <w:u w:val="single"/>
          <w:lang w:val="en-US"/>
        </w:rPr>
        <w:t>Journal of Industrial Information Integration, 26</w:t>
      </w:r>
      <w:r w:rsidRPr="000E2ACD">
        <w:rPr>
          <w:u w:val="single"/>
          <w:lang w:val="en-US"/>
        </w:rPr>
        <w:t>, 100257. https://doi.org/10.1016/j.jii.2021.100257</w:t>
      </w:r>
    </w:p>
    <w:p w14:paraId="130607F5" w14:textId="77777777" w:rsidR="00EF1C33" w:rsidRPr="000E2ACD" w:rsidRDefault="00000000">
      <w:pPr>
        <w:ind w:left="720" w:hanging="720"/>
        <w:rPr>
          <w:lang w:val="en-US"/>
        </w:rPr>
      </w:pPr>
      <w:r w:rsidRPr="000E2ACD">
        <w:rPr>
          <w:u w:val="single"/>
          <w:lang w:val="en-US"/>
        </w:rPr>
        <w:lastRenderedPageBreak/>
        <w:t xml:space="preserve">Maheshwari, S., Jaggi, C. K., &amp; Gautam, P. (2025). A state-of-the-art review of green supply chain management: Observations and business insights. </w:t>
      </w:r>
      <w:r w:rsidRPr="000E2ACD">
        <w:rPr>
          <w:i/>
          <w:iCs/>
          <w:u w:val="single"/>
          <w:lang w:val="en-US"/>
        </w:rPr>
        <w:t>Annals of Operations Research</w:t>
      </w:r>
      <w:r w:rsidRPr="000E2ACD">
        <w:rPr>
          <w:u w:val="single"/>
          <w:lang w:val="en-US"/>
        </w:rPr>
        <w:t>. Advance online publication. https://doi.org/10.1007/s10479-025-06619-3</w:t>
      </w:r>
    </w:p>
    <w:p w14:paraId="696C067C" w14:textId="77777777" w:rsidR="00EF1C33" w:rsidRPr="000E2ACD" w:rsidRDefault="00000000">
      <w:pPr>
        <w:ind w:left="720" w:hanging="720"/>
        <w:rPr>
          <w:lang w:val="en-US"/>
        </w:rPr>
      </w:pPr>
      <w:r>
        <w:rPr>
          <w:u w:val="single"/>
        </w:rPr>
        <w:t xml:space="preserve">Mesbahi, Z., Pellegrini, T., &amp; </w:t>
      </w:r>
      <w:proofErr w:type="spellStart"/>
      <w:r>
        <w:rPr>
          <w:u w:val="single"/>
        </w:rPr>
        <w:t>Roiser</w:t>
      </w:r>
      <w:proofErr w:type="spellEnd"/>
      <w:r>
        <w:rPr>
          <w:u w:val="single"/>
        </w:rPr>
        <w:t xml:space="preserve">, S. (2026). </w:t>
      </w:r>
      <w:r w:rsidRPr="000E2ACD">
        <w:rPr>
          <w:u w:val="single"/>
          <w:lang w:val="en-US"/>
        </w:rPr>
        <w:t xml:space="preserve">Companies in transition: Adapting to the digital product passport and the circular economy. </w:t>
      </w:r>
      <w:r w:rsidRPr="000E2ACD">
        <w:rPr>
          <w:i/>
          <w:iCs/>
          <w:u w:val="single"/>
          <w:lang w:val="en-US"/>
        </w:rPr>
        <w:t>Intelligent Systems Reference Library, 285</w:t>
      </w:r>
      <w:r w:rsidRPr="000E2ACD">
        <w:rPr>
          <w:u w:val="single"/>
          <w:lang w:val="en-US"/>
        </w:rPr>
        <w:t>, 191–204. https://doi.org/10.1007/978-3-032-24395-9_8</w:t>
      </w:r>
    </w:p>
    <w:p w14:paraId="7041C3FF" w14:textId="77777777" w:rsidR="00EF1C33" w:rsidRDefault="00000000">
      <w:pPr>
        <w:ind w:left="720" w:hanging="720"/>
      </w:pPr>
      <w:r w:rsidRPr="000E2ACD">
        <w:rPr>
          <w:lang w:val="en-US"/>
        </w:rPr>
        <w:t xml:space="preserve">Moher, D., Liberati, A., Tetzlaff, J., &amp; Altman, D. G. (2009). Preferred reporting items for systematic reviews and meta-analyses: The PRISMA statement. </w:t>
      </w:r>
      <w:proofErr w:type="spellStart"/>
      <w:r>
        <w:rPr>
          <w:i/>
          <w:iCs/>
        </w:rPr>
        <w:t>PLoS</w:t>
      </w:r>
      <w:proofErr w:type="spellEnd"/>
      <w:r>
        <w:rPr>
          <w:i/>
          <w:iCs/>
        </w:rPr>
        <w:t xml:space="preserve"> Medicine, 6</w:t>
      </w:r>
      <w:r>
        <w:t>(7), e1000097. https://doi.org/10.1371/journal.pmed.1000097</w:t>
      </w:r>
    </w:p>
    <w:p w14:paraId="2608FEA1" w14:textId="77777777" w:rsidR="00EF1C33" w:rsidRPr="000E2ACD" w:rsidRDefault="00000000">
      <w:pPr>
        <w:ind w:left="720" w:hanging="720"/>
        <w:rPr>
          <w:lang w:val="en-US"/>
        </w:rPr>
      </w:pPr>
      <w:proofErr w:type="spellStart"/>
      <w:r>
        <w:rPr>
          <w:u w:val="single"/>
        </w:rPr>
        <w:t>Munonye</w:t>
      </w:r>
      <w:proofErr w:type="spellEnd"/>
      <w:r>
        <w:rPr>
          <w:u w:val="single"/>
        </w:rPr>
        <w:t xml:space="preserve">, W. C., &amp; </w:t>
      </w:r>
      <w:proofErr w:type="spellStart"/>
      <w:r>
        <w:rPr>
          <w:u w:val="single"/>
        </w:rPr>
        <w:t>Munonye</w:t>
      </w:r>
      <w:proofErr w:type="spellEnd"/>
      <w:r>
        <w:rPr>
          <w:u w:val="single"/>
        </w:rPr>
        <w:t xml:space="preserve">, D. I. (2026). </w:t>
      </w:r>
      <w:r w:rsidRPr="000E2ACD">
        <w:rPr>
          <w:u w:val="single"/>
          <w:lang w:val="en-US"/>
        </w:rPr>
        <w:t xml:space="preserve">Beyond greenwashing: How circular economy metrics could revolutionize ESG investing. </w:t>
      </w:r>
      <w:r w:rsidRPr="000E2ACD">
        <w:rPr>
          <w:i/>
          <w:iCs/>
          <w:u w:val="single"/>
          <w:lang w:val="en-US"/>
        </w:rPr>
        <w:t>Frontiers in Sustainability, 6</w:t>
      </w:r>
      <w:r w:rsidRPr="000E2ACD">
        <w:rPr>
          <w:u w:val="single"/>
          <w:lang w:val="en-US"/>
        </w:rPr>
        <w:t>, 1588374. https://doi.org/10.3389/frsus.2025.1588374</w:t>
      </w:r>
    </w:p>
    <w:p w14:paraId="421D3D08" w14:textId="66CC2C4A" w:rsidR="00EF1C33" w:rsidRDefault="00000000">
      <w:pPr>
        <w:ind w:left="720" w:hanging="720"/>
      </w:pPr>
      <w:proofErr w:type="spellStart"/>
      <w:r w:rsidRPr="000E2ACD">
        <w:rPr>
          <w:lang w:val="en-US"/>
        </w:rPr>
        <w:t>Nahavandi</w:t>
      </w:r>
      <w:proofErr w:type="spellEnd"/>
      <w:r w:rsidRPr="000E2ACD">
        <w:rPr>
          <w:lang w:val="en-US"/>
        </w:rPr>
        <w:t xml:space="preserve">, S. (2019). Industry 5.0A human-centric solution. </w:t>
      </w:r>
      <w:proofErr w:type="spellStart"/>
      <w:r>
        <w:rPr>
          <w:i/>
          <w:iCs/>
        </w:rPr>
        <w:t>Sustainability</w:t>
      </w:r>
      <w:proofErr w:type="spellEnd"/>
      <w:r>
        <w:rPr>
          <w:i/>
          <w:iCs/>
        </w:rPr>
        <w:t>, 11</w:t>
      </w:r>
      <w:r>
        <w:t>(16), 4371. https://doi.org/10.3390/su11164371</w:t>
      </w:r>
    </w:p>
    <w:p w14:paraId="76BB2DE0" w14:textId="77777777" w:rsidR="00EF1C33" w:rsidRPr="000E2ACD" w:rsidRDefault="00000000">
      <w:pPr>
        <w:ind w:left="720" w:hanging="720"/>
        <w:rPr>
          <w:lang w:val="en-US"/>
        </w:rPr>
      </w:pPr>
      <w:r>
        <w:rPr>
          <w:u w:val="single"/>
        </w:rPr>
        <w:t xml:space="preserve">Nascimento, D. L. M., Alencastro, V., </w:t>
      </w:r>
      <w:proofErr w:type="spellStart"/>
      <w:r>
        <w:rPr>
          <w:u w:val="single"/>
        </w:rPr>
        <w:t>Quelhas</w:t>
      </w:r>
      <w:proofErr w:type="spellEnd"/>
      <w:r>
        <w:rPr>
          <w:u w:val="single"/>
        </w:rPr>
        <w:t xml:space="preserve">, O. L. G., Caiado, R. G. G., Garza-Reyes, J. A., Rocha-Lona, L., &amp; Tortorella, G. (2019). </w:t>
      </w:r>
      <w:r w:rsidRPr="000E2ACD">
        <w:rPr>
          <w:u w:val="single"/>
          <w:lang w:val="en-US"/>
        </w:rPr>
        <w:t xml:space="preserve">Exploring Industry 4.0 technologies to enable circular economy practices in a manufacturing context. </w:t>
      </w:r>
      <w:r w:rsidRPr="000E2ACD">
        <w:rPr>
          <w:i/>
          <w:iCs/>
          <w:u w:val="single"/>
          <w:lang w:val="en-US"/>
        </w:rPr>
        <w:t>Journal of Manufacturing Technology Management, 30</w:t>
      </w:r>
      <w:r w:rsidRPr="000E2ACD">
        <w:rPr>
          <w:u w:val="single"/>
          <w:lang w:val="en-US"/>
        </w:rPr>
        <w:t>(3), 607–627. https://doi.org/10.1108/JMTM-03-2018-0071</w:t>
      </w:r>
    </w:p>
    <w:p w14:paraId="05DBDFA4" w14:textId="77777777" w:rsidR="00EF1C33" w:rsidRPr="000E2ACD" w:rsidRDefault="00000000">
      <w:pPr>
        <w:ind w:left="720" w:hanging="720"/>
        <w:rPr>
          <w:lang w:val="en-US"/>
        </w:rPr>
      </w:pPr>
      <w:r w:rsidRPr="000E2ACD">
        <w:rPr>
          <w:u w:val="single"/>
          <w:lang w:val="en-US"/>
        </w:rPr>
        <w:t xml:space="preserve">Nureen, N., Sun, H., Irfan, M., Nuta, A. C., &amp; Malik, M. (2023). Digital transformation: Fresh insights to implement green supply chain management, eco-technological innovation, and collaborative capability in manufacturing sector of an emerging economy. </w:t>
      </w:r>
      <w:r w:rsidRPr="000E2ACD">
        <w:rPr>
          <w:i/>
          <w:iCs/>
          <w:u w:val="single"/>
          <w:lang w:val="en-US"/>
        </w:rPr>
        <w:t>Environmental Science and Pollution Research, 30</w:t>
      </w:r>
      <w:r w:rsidRPr="000E2ACD">
        <w:rPr>
          <w:u w:val="single"/>
          <w:lang w:val="en-US"/>
        </w:rPr>
        <w:t>(32), 78168–78181. https://doi.org/10.1007/s11356-023-27796-3</w:t>
      </w:r>
    </w:p>
    <w:p w14:paraId="5F1F5464" w14:textId="77777777" w:rsidR="00EF1C33" w:rsidRPr="000E2ACD" w:rsidRDefault="00000000">
      <w:pPr>
        <w:ind w:left="720" w:hanging="720"/>
        <w:rPr>
          <w:lang w:val="en-US"/>
        </w:rPr>
      </w:pPr>
      <w:r w:rsidRPr="000E2ACD">
        <w:rPr>
          <w:u w:val="single"/>
          <w:lang w:val="en-US"/>
        </w:rPr>
        <w:lastRenderedPageBreak/>
        <w:t xml:space="preserve">Page, M. J., McKenzie, J. E., Bossuyt, P. M., </w:t>
      </w:r>
      <w:proofErr w:type="spellStart"/>
      <w:r w:rsidRPr="000E2ACD">
        <w:rPr>
          <w:u w:val="single"/>
          <w:lang w:val="en-US"/>
        </w:rPr>
        <w:t>Boutron</w:t>
      </w:r>
      <w:proofErr w:type="spellEnd"/>
      <w:r w:rsidRPr="000E2ACD">
        <w:rPr>
          <w:u w:val="single"/>
          <w:lang w:val="en-US"/>
        </w:rPr>
        <w:t xml:space="preserve">, I., Hoffmann, T. C., Mulrow, C. D., </w:t>
      </w:r>
      <w:proofErr w:type="spellStart"/>
      <w:r w:rsidRPr="000E2ACD">
        <w:rPr>
          <w:u w:val="single"/>
          <w:lang w:val="en-US"/>
        </w:rPr>
        <w:t>Shamseer</w:t>
      </w:r>
      <w:proofErr w:type="spellEnd"/>
      <w:r w:rsidRPr="000E2ACD">
        <w:rPr>
          <w:u w:val="single"/>
          <w:lang w:val="en-US"/>
        </w:rPr>
        <w:t xml:space="preserve">, L., Tetzlaff, J. M., Akl, E. A., Brennan, S. E., Chou, R., Glanville, J., Grimshaw, J. M., Hróbjartsson, A., Lalu, M. M., Li, T., Loder, E. W., Mayo-Wilson, E., McDonald, S., … </w:t>
      </w:r>
      <w:r w:rsidRPr="009336A2">
        <w:rPr>
          <w:u w:val="single"/>
          <w:lang w:val="en-US"/>
        </w:rPr>
        <w:t xml:space="preserve">Moher, D. (2021). </w:t>
      </w:r>
      <w:r w:rsidRPr="000E2ACD">
        <w:rPr>
          <w:u w:val="single"/>
          <w:lang w:val="en-US"/>
        </w:rPr>
        <w:t xml:space="preserve">The PRISMA 2020 statement: An updated guideline for reporting systematic reviews. </w:t>
      </w:r>
      <w:r w:rsidRPr="000E2ACD">
        <w:rPr>
          <w:i/>
          <w:iCs/>
          <w:u w:val="single"/>
          <w:lang w:val="en-US"/>
        </w:rPr>
        <w:t>BMJ, 372</w:t>
      </w:r>
      <w:r w:rsidRPr="000E2ACD">
        <w:rPr>
          <w:u w:val="single"/>
          <w:lang w:val="en-US"/>
        </w:rPr>
        <w:t>, n71. https://doi.org/10.1136/bmj.n71</w:t>
      </w:r>
    </w:p>
    <w:p w14:paraId="4FF57AE9" w14:textId="77777777" w:rsidR="00EF1C33" w:rsidRDefault="00000000">
      <w:pPr>
        <w:ind w:left="720" w:hanging="720"/>
      </w:pPr>
      <w:r w:rsidRPr="000E2ACD">
        <w:rPr>
          <w:u w:val="single"/>
          <w:lang w:val="en-US"/>
        </w:rPr>
        <w:t xml:space="preserve">Panagiotopoulou, V. C., Giannoulis, C., &amp; Stavropoulos, P. (2026). Supply chain </w:t>
      </w:r>
      <w:proofErr w:type="spellStart"/>
      <w:r w:rsidRPr="000E2ACD">
        <w:rPr>
          <w:u w:val="single"/>
          <w:lang w:val="en-US"/>
        </w:rPr>
        <w:t>optimisation</w:t>
      </w:r>
      <w:proofErr w:type="spellEnd"/>
      <w:r w:rsidRPr="000E2ACD">
        <w:rPr>
          <w:u w:val="single"/>
          <w:lang w:val="en-US"/>
        </w:rPr>
        <w:t xml:space="preserve"> algorithm based on circular economy and sustainability criteria for repairing processes. </w:t>
      </w:r>
      <w:proofErr w:type="spellStart"/>
      <w:r>
        <w:rPr>
          <w:i/>
          <w:iCs/>
          <w:u w:val="single"/>
        </w:rPr>
        <w:t>Procedia</w:t>
      </w:r>
      <w:proofErr w:type="spellEnd"/>
      <w:r>
        <w:rPr>
          <w:i/>
          <w:iCs/>
          <w:u w:val="single"/>
        </w:rPr>
        <w:t xml:space="preserve"> CIRP, 146</w:t>
      </w:r>
      <w:r>
        <w:rPr>
          <w:u w:val="single"/>
        </w:rPr>
        <w:t>, 150–153. https://doi.org/10.1016/j.procir.2026.03.210</w:t>
      </w:r>
    </w:p>
    <w:p w14:paraId="17791CC8" w14:textId="77777777" w:rsidR="00EF1C33" w:rsidRPr="000E2ACD" w:rsidRDefault="00000000">
      <w:pPr>
        <w:ind w:left="720" w:hanging="720"/>
        <w:rPr>
          <w:lang w:val="en-US"/>
        </w:rPr>
      </w:pPr>
      <w:proofErr w:type="spellStart"/>
      <w:r>
        <w:rPr>
          <w:u w:val="single"/>
        </w:rPr>
        <w:t>Patyal</w:t>
      </w:r>
      <w:proofErr w:type="spellEnd"/>
      <w:r>
        <w:rPr>
          <w:u w:val="single"/>
        </w:rPr>
        <w:t xml:space="preserve">, V. S., Sarma, P. R. S., </w:t>
      </w:r>
      <w:proofErr w:type="spellStart"/>
      <w:r>
        <w:rPr>
          <w:u w:val="single"/>
        </w:rPr>
        <w:t>Modgil</w:t>
      </w:r>
      <w:proofErr w:type="spellEnd"/>
      <w:r>
        <w:rPr>
          <w:u w:val="single"/>
        </w:rPr>
        <w:t xml:space="preserve">, S., Nag, T., &amp; Dennehy, D. (2022). </w:t>
      </w:r>
      <w:r w:rsidRPr="000E2ACD">
        <w:rPr>
          <w:u w:val="single"/>
          <w:lang w:val="en-US"/>
        </w:rPr>
        <w:t xml:space="preserve">Mapping the links between Industry 4.0, circular economy and sustainability: A systematic literature review. </w:t>
      </w:r>
      <w:r w:rsidRPr="000E2ACD">
        <w:rPr>
          <w:i/>
          <w:iCs/>
          <w:u w:val="single"/>
          <w:lang w:val="en-US"/>
        </w:rPr>
        <w:t>Journal of Enterprise Information Management, 35</w:t>
      </w:r>
      <w:r w:rsidRPr="000E2ACD">
        <w:rPr>
          <w:u w:val="single"/>
          <w:lang w:val="en-US"/>
        </w:rPr>
        <w:t>(1). https://doi.org/10.1108/JEIM-05-2021-0197</w:t>
      </w:r>
    </w:p>
    <w:p w14:paraId="17791CC8" w14:textId="77777777" w:rsidR="00EF1C33" w:rsidRPr="000E2ACD" w:rsidRDefault="00000000">
      <w:pPr>
        <w:ind w:left="720" w:hanging="720"/>
        <w:rPr>
          <w:lang w:val="en-US"/>
        </w:rPr>
      </w:pPr>
      <w:proofErr w:type="spellStart"/>
      <w:proofErr w:type="spellEnd"/>
      <w:proofErr w:type="spellStart"/>
      <w:proofErr w:type="spellEnd"/>
      <w:r>
        <w:rPr>
          <w:rFonts w:ascii="Times New Roman" w:hAnsi="Times New Roman"/>
          <w:sz w:val="24"/>
          <w:u w:val="single"/>
        </w:rPr>
        <w:t>Pawar, P. S., &amp; Alsedais, B. A. (2026). Building sustainable supply chain resilience through digitalisation and circular practices: Evidence from emerging economies. Sustainability, 18(3), 1393. https://doi.org/10.3390/su18031393</w:t>
      </w:r>
    </w:p>
    <w:p w14:paraId="1C51D9DC" w14:textId="77777777" w:rsidR="00EF1C33" w:rsidRPr="000E2ACD" w:rsidRDefault="00000000">
      <w:pPr>
        <w:ind w:left="720" w:hanging="720"/>
        <w:rPr>
          <w:lang w:val="en-US"/>
        </w:rPr>
      </w:pPr>
      <w:proofErr w:type="spellStart"/>
      <w:r w:rsidRPr="000E2ACD">
        <w:rPr>
          <w:u w:val="single"/>
          <w:lang w:val="en-US"/>
        </w:rPr>
        <w:t>Pourjafarian</w:t>
      </w:r>
      <w:proofErr w:type="spellEnd"/>
      <w:r w:rsidRPr="000E2ACD">
        <w:rPr>
          <w:u w:val="single"/>
          <w:lang w:val="en-US"/>
        </w:rPr>
        <w:t xml:space="preserve">, M., Farrukh, A., Rezapour, M., </w:t>
      </w:r>
      <w:proofErr w:type="spellStart"/>
      <w:r w:rsidRPr="000E2ACD">
        <w:rPr>
          <w:u w:val="single"/>
          <w:lang w:val="en-US"/>
        </w:rPr>
        <w:t>Plociennik</w:t>
      </w:r>
      <w:proofErr w:type="spellEnd"/>
      <w:r w:rsidRPr="000E2ACD">
        <w:rPr>
          <w:u w:val="single"/>
          <w:lang w:val="en-US"/>
        </w:rPr>
        <w:t xml:space="preserve">, C., &amp; Ruskowski, M. (2026). Integration of product circularity indicators into the digital product passport based on the asset administration shell. </w:t>
      </w:r>
      <w:r w:rsidRPr="000E2ACD">
        <w:rPr>
          <w:i/>
          <w:iCs/>
          <w:u w:val="single"/>
          <w:lang w:val="en-US"/>
        </w:rPr>
        <w:t>Procedia Computer Science, 277</w:t>
      </w:r>
      <w:r w:rsidRPr="000E2ACD">
        <w:rPr>
          <w:u w:val="single"/>
          <w:lang w:val="en-US"/>
        </w:rPr>
        <w:t>, 3297–3306. https://doi.org/10.1016/j.procs.2026.02.366</w:t>
      </w:r>
    </w:p>
    <w:p w14:paraId="0B1F7F0D" w14:textId="04A27A50" w:rsidR="00EF1C33" w:rsidRPr="000E2ACD" w:rsidRDefault="00000000">
      <w:pPr>
        <w:ind w:left="720" w:hanging="720"/>
        <w:rPr>
          <w:lang w:val="en-US"/>
        </w:rPr>
      </w:pPr>
      <w:r w:rsidRPr="000E2ACD">
        <w:rPr>
          <w:u w:val="single"/>
          <w:lang w:val="en-US"/>
        </w:rPr>
        <w:t xml:space="preserve">Prakash, N., Dharshne, M., Karthikeyan, P., Sree, A. K., &amp; </w:t>
      </w:r>
      <w:proofErr w:type="spellStart"/>
      <w:r w:rsidRPr="000E2ACD">
        <w:rPr>
          <w:u w:val="single"/>
          <w:lang w:val="en-US"/>
        </w:rPr>
        <w:t>Krishnashree</w:t>
      </w:r>
      <w:proofErr w:type="spellEnd"/>
      <w:r w:rsidRPr="000E2ACD">
        <w:rPr>
          <w:u w:val="single"/>
          <w:lang w:val="en-US"/>
        </w:rPr>
        <w:t xml:space="preserve">, S. (2026). Metrics and performance measurement for circular economy. En </w:t>
      </w:r>
      <w:r w:rsidRPr="000E2ACD">
        <w:rPr>
          <w:i/>
          <w:iCs/>
          <w:u w:val="single"/>
          <w:lang w:val="en-US"/>
        </w:rPr>
        <w:t>Manufacturing and the circular economy</w:t>
      </w:r>
      <w:r w:rsidRPr="000E2ACD">
        <w:rPr>
          <w:u w:val="single"/>
          <w:lang w:val="en-US"/>
        </w:rPr>
        <w:t xml:space="preserve"> (pp. 253–287).</w:t>
      </w:r>
      <w:r w:rsidR="00B658E6" w:rsidRPr="00B658E6">
        <w:rPr>
          <w:u w:val="single"/>
          <w:lang w:val="en-US"/>
        </w:rPr>
        <w:t xml:space="preserve"> DOI: 10.1007/s11356-020-11725-9</w:t>
      </w:r>
    </w:p>
    <w:p w14:paraId="5259DD0E" w14:textId="77777777" w:rsidR="00EF1C33" w:rsidRPr="000E2ACD" w:rsidRDefault="00000000">
      <w:pPr>
        <w:ind w:left="720" w:hanging="720"/>
        <w:rPr>
          <w:lang w:val="en-US"/>
        </w:rPr>
      </w:pPr>
      <w:proofErr w:type="spellStart"/>
      <w:r w:rsidRPr="000E2ACD">
        <w:rPr>
          <w:u w:val="single"/>
          <w:lang w:val="en-US"/>
        </w:rPr>
        <w:t>Psarommatis</w:t>
      </w:r>
      <w:proofErr w:type="spellEnd"/>
      <w:r w:rsidRPr="000E2ACD">
        <w:rPr>
          <w:u w:val="single"/>
          <w:lang w:val="en-US"/>
        </w:rPr>
        <w:t xml:space="preserve">, F., &amp; May, G. (2024). Digital product passport: A pathway to circularity and sustainability in modern manufacturing. </w:t>
      </w:r>
      <w:r w:rsidRPr="000E2ACD">
        <w:rPr>
          <w:i/>
          <w:iCs/>
          <w:u w:val="single"/>
          <w:lang w:val="en-US"/>
        </w:rPr>
        <w:t>Sustainability, 16</w:t>
      </w:r>
      <w:r w:rsidRPr="000E2ACD">
        <w:rPr>
          <w:u w:val="single"/>
          <w:lang w:val="en-US"/>
        </w:rPr>
        <w:t>(1), 396. https://doi.org/10.3390/su16010396</w:t>
      </w:r>
    </w:p>
    <w:p w14:paraId="5C8238ED" w14:textId="77777777" w:rsidR="00EF1C33" w:rsidRPr="000E2ACD" w:rsidRDefault="00000000">
      <w:pPr>
        <w:ind w:left="720" w:hanging="720"/>
        <w:rPr>
          <w:lang w:val="en-US"/>
        </w:rPr>
      </w:pPr>
      <w:r w:rsidRPr="000E2ACD">
        <w:rPr>
          <w:lang w:val="en-US"/>
        </w:rPr>
        <w:lastRenderedPageBreak/>
        <w:t xml:space="preserve">Qian, C., Gao, Y., &amp; Chen, L. (2023). Green supply chain circular economy evaluation system based on industrial internet of things and blockchain technology under ESG concept. </w:t>
      </w:r>
      <w:r w:rsidRPr="000E2ACD">
        <w:rPr>
          <w:i/>
          <w:iCs/>
          <w:lang w:val="en-US"/>
        </w:rPr>
        <w:t>Processes, 11</w:t>
      </w:r>
      <w:r w:rsidRPr="000E2ACD">
        <w:rPr>
          <w:lang w:val="en-US"/>
        </w:rPr>
        <w:t>(7), 1999. https://doi.org/10.3390/pr11071999</w:t>
      </w:r>
    </w:p>
    <w:p w14:paraId="0ACEC9F2" w14:textId="77777777" w:rsidR="00EF1C33" w:rsidRPr="000E2ACD" w:rsidRDefault="00000000">
      <w:pPr>
        <w:ind w:left="720" w:hanging="720"/>
        <w:rPr>
          <w:lang w:val="en-US"/>
        </w:rPr>
      </w:pPr>
      <w:r w:rsidRPr="000E2ACD">
        <w:rPr>
          <w:u w:val="single"/>
          <w:lang w:val="en-US"/>
        </w:rPr>
        <w:t xml:space="preserve">Rajput, S., &amp; Singh, S. P. (2019). Connecting circular economy and Industry 4.0. </w:t>
      </w:r>
      <w:r w:rsidRPr="000E2ACD">
        <w:rPr>
          <w:i/>
          <w:iCs/>
          <w:u w:val="single"/>
          <w:lang w:val="en-US"/>
        </w:rPr>
        <w:t>International Journal of Information Management, 49</w:t>
      </w:r>
      <w:r w:rsidRPr="000E2ACD">
        <w:rPr>
          <w:u w:val="single"/>
          <w:lang w:val="en-US"/>
        </w:rPr>
        <w:t>, 98–113. https://doi.org/10.1016/j.ijinfomgt.2019.03.002</w:t>
      </w:r>
    </w:p>
    <w:p w14:paraId="3A260754" w14:textId="77777777" w:rsidR="00EF1C33" w:rsidRPr="000E2ACD" w:rsidRDefault="00000000">
      <w:pPr>
        <w:ind w:left="720" w:hanging="720"/>
        <w:rPr>
          <w:lang w:val="en-US"/>
        </w:rPr>
      </w:pPr>
      <w:r w:rsidRPr="000E2ACD">
        <w:rPr>
          <w:u w:val="single"/>
          <w:lang w:val="en-US"/>
        </w:rPr>
        <w:t xml:space="preserve">Rao, K. S., Rao, S. G., Rao, U. V. A., &amp; </w:t>
      </w:r>
      <w:proofErr w:type="spellStart"/>
      <w:r w:rsidRPr="000E2ACD">
        <w:rPr>
          <w:u w:val="single"/>
          <w:lang w:val="en-US"/>
        </w:rPr>
        <w:t>Baburao</w:t>
      </w:r>
      <w:proofErr w:type="spellEnd"/>
      <w:r w:rsidRPr="000E2ACD">
        <w:rPr>
          <w:u w:val="single"/>
          <w:lang w:val="en-US"/>
        </w:rPr>
        <w:t xml:space="preserve">, C. (2026). Designing circular supply chains for ethical and responsible production. En </w:t>
      </w:r>
      <w:r w:rsidRPr="000E2ACD">
        <w:rPr>
          <w:i/>
          <w:iCs/>
          <w:u w:val="single"/>
          <w:lang w:val="en-US"/>
        </w:rPr>
        <w:t>Ethical sourcing for responsible supply chain management</w:t>
      </w:r>
      <w:r w:rsidRPr="000E2ACD">
        <w:rPr>
          <w:u w:val="single"/>
          <w:lang w:val="en-US"/>
        </w:rPr>
        <w:t xml:space="preserve"> (pp. 95–125). https://doi.org/10.4018/979-8-3373-7143-6.ch004</w:t>
      </w:r>
    </w:p>
    <w:p w14:paraId="5FF4071E" w14:textId="77777777" w:rsidR="00EF1C33" w:rsidRDefault="00000000">
      <w:pPr>
        <w:ind w:left="720" w:hanging="720"/>
      </w:pPr>
      <w:r>
        <w:rPr>
          <w:u w:val="single"/>
        </w:rPr>
        <w:t>Rodríguez-Mañay, L. O., Guaita-</w:t>
      </w:r>
      <w:proofErr w:type="spellStart"/>
      <w:r>
        <w:rPr>
          <w:u w:val="single"/>
        </w:rPr>
        <w:t>Pradas</w:t>
      </w:r>
      <w:proofErr w:type="spellEnd"/>
      <w:r>
        <w:rPr>
          <w:u w:val="single"/>
        </w:rPr>
        <w:t>, I., &amp; Marques-</w:t>
      </w:r>
      <w:proofErr w:type="spellStart"/>
      <w:r>
        <w:rPr>
          <w:u w:val="single"/>
        </w:rPr>
        <w:t>Perez</w:t>
      </w:r>
      <w:proofErr w:type="spellEnd"/>
      <w:r>
        <w:rPr>
          <w:u w:val="single"/>
        </w:rPr>
        <w:t xml:space="preserve">, I. (2026). </w:t>
      </w:r>
      <w:r w:rsidRPr="000E2ACD">
        <w:rPr>
          <w:u w:val="single"/>
          <w:lang w:val="en-US"/>
        </w:rPr>
        <w:t xml:space="preserve">The circular economy in European Union supply chains: A literature review. </w:t>
      </w:r>
      <w:proofErr w:type="spellStart"/>
      <w:r>
        <w:rPr>
          <w:i/>
          <w:iCs/>
          <w:u w:val="single"/>
        </w:rPr>
        <w:t>Sustainable</w:t>
      </w:r>
      <w:proofErr w:type="spellEnd"/>
      <w:r>
        <w:rPr>
          <w:i/>
          <w:iCs/>
          <w:u w:val="single"/>
        </w:rPr>
        <w:t xml:space="preserve"> </w:t>
      </w:r>
      <w:proofErr w:type="spellStart"/>
      <w:r>
        <w:rPr>
          <w:i/>
          <w:iCs/>
          <w:u w:val="single"/>
        </w:rPr>
        <w:t>Development</w:t>
      </w:r>
      <w:proofErr w:type="spellEnd"/>
      <w:r>
        <w:rPr>
          <w:u w:val="single"/>
        </w:rPr>
        <w:t>. Publicación anticipada en línea. https://doi.org/10.1002/sd.70855</w:t>
      </w:r>
    </w:p>
    <w:p w14:paraId="2FC1EF6D" w14:textId="77777777" w:rsidR="00EF1C33" w:rsidRPr="000E2ACD" w:rsidRDefault="00000000">
      <w:pPr>
        <w:ind w:left="720" w:hanging="720"/>
        <w:rPr>
          <w:lang w:val="en-US"/>
        </w:rPr>
      </w:pPr>
      <w:r w:rsidRPr="000E2ACD">
        <w:rPr>
          <w:u w:val="single"/>
          <w:lang w:val="en-US"/>
        </w:rPr>
        <w:t xml:space="preserve">Roy, M., Maruf, N., &amp; </w:t>
      </w:r>
      <w:proofErr w:type="spellStart"/>
      <w:r w:rsidRPr="000E2ACD">
        <w:rPr>
          <w:u w:val="single"/>
          <w:lang w:val="en-US"/>
        </w:rPr>
        <w:t>Salimullah</w:t>
      </w:r>
      <w:proofErr w:type="spellEnd"/>
      <w:r w:rsidRPr="000E2ACD">
        <w:rPr>
          <w:u w:val="single"/>
          <w:lang w:val="en-US"/>
        </w:rPr>
        <w:t xml:space="preserve">, A. H. M. (2026). Exploring the synergy of green manufacturing, sustainable supply chains, and circular economy: A systematic review of strategies, challenges, and opportunities. En </w:t>
      </w:r>
      <w:r w:rsidRPr="000E2ACD">
        <w:rPr>
          <w:i/>
          <w:iCs/>
          <w:u w:val="single"/>
          <w:lang w:val="en-US"/>
        </w:rPr>
        <w:t>Sustainable supply chain management: Industry-driven practices for a resilient future</w:t>
      </w:r>
      <w:r w:rsidRPr="000E2ACD">
        <w:rPr>
          <w:u w:val="single"/>
          <w:lang w:val="en-US"/>
        </w:rPr>
        <w:t xml:space="preserve"> (pp. 111–123). https://doi.org/10.1201/9781003770008-12</w:t>
      </w:r>
    </w:p>
    <w:p w14:paraId="3E0B0728" w14:textId="77777777" w:rsidR="00EF1C33" w:rsidRPr="000E2ACD" w:rsidRDefault="00000000">
      <w:pPr>
        <w:ind w:left="720" w:hanging="720"/>
        <w:rPr>
          <w:lang w:val="en-US"/>
        </w:rPr>
      </w:pPr>
      <w:r w:rsidRPr="000E2ACD">
        <w:rPr>
          <w:u w:val="single"/>
          <w:lang w:val="en-US"/>
        </w:rPr>
        <w:t xml:space="preserve">Sadiq, M., Nisar, Q. A., </w:t>
      </w:r>
      <w:proofErr w:type="spellStart"/>
      <w:r w:rsidRPr="000E2ACD">
        <w:rPr>
          <w:u w:val="single"/>
          <w:lang w:val="en-US"/>
        </w:rPr>
        <w:t>Kautish</w:t>
      </w:r>
      <w:proofErr w:type="spellEnd"/>
      <w:r w:rsidRPr="000E2ACD">
        <w:rPr>
          <w:u w:val="single"/>
          <w:lang w:val="en-US"/>
        </w:rPr>
        <w:t xml:space="preserve">, P., Sarma, P. R. S., &amp; Haider, S. (2026). From circularity to sustainability: Leveraging Industry 4.0 for circular and supply chain resilience. </w:t>
      </w:r>
      <w:proofErr w:type="spellStart"/>
      <w:r w:rsidRPr="000E2ACD">
        <w:rPr>
          <w:i/>
          <w:iCs/>
          <w:u w:val="single"/>
          <w:lang w:val="en-US"/>
        </w:rPr>
        <w:t>Technovation</w:t>
      </w:r>
      <w:proofErr w:type="spellEnd"/>
      <w:r w:rsidRPr="000E2ACD">
        <w:rPr>
          <w:i/>
          <w:iCs/>
          <w:u w:val="single"/>
          <w:lang w:val="en-US"/>
        </w:rPr>
        <w:t>, 157</w:t>
      </w:r>
      <w:r w:rsidRPr="000E2ACD">
        <w:rPr>
          <w:u w:val="single"/>
          <w:lang w:val="en-US"/>
        </w:rPr>
        <w:t>, 103653. https://doi.org/10.1016/j.technovation.2026.103653</w:t>
      </w:r>
    </w:p>
    <w:p w14:paraId="481E6C36" w14:textId="77777777" w:rsidR="00EF1C33" w:rsidRPr="000E2ACD" w:rsidRDefault="00000000">
      <w:pPr>
        <w:ind w:left="720" w:hanging="720"/>
        <w:rPr>
          <w:lang w:val="en-US"/>
        </w:rPr>
      </w:pPr>
      <w:r w:rsidRPr="000E2ACD">
        <w:rPr>
          <w:u w:val="single"/>
          <w:lang w:val="en-US"/>
        </w:rPr>
        <w:t xml:space="preserve">Saharan, A., </w:t>
      </w:r>
      <w:proofErr w:type="spellStart"/>
      <w:r w:rsidRPr="000E2ACD">
        <w:rPr>
          <w:u w:val="single"/>
          <w:lang w:val="en-US"/>
        </w:rPr>
        <w:t>Samadhiya</w:t>
      </w:r>
      <w:proofErr w:type="spellEnd"/>
      <w:r w:rsidRPr="000E2ACD">
        <w:rPr>
          <w:u w:val="single"/>
          <w:lang w:val="en-US"/>
        </w:rPr>
        <w:t xml:space="preserve">, A., Kumar, A., Pandey, K. K., Luthra, S., &amp; Garza-Reyes, J. A. (2023). Achieving circularity is a distant dream: Entrepreneurial barriers to circular business </w:t>
      </w:r>
      <w:r w:rsidRPr="000E2ACD">
        <w:rPr>
          <w:u w:val="single"/>
          <w:lang w:val="en-US"/>
        </w:rPr>
        <w:lastRenderedPageBreak/>
        <w:t xml:space="preserve">models in SMEs of emerging economies. </w:t>
      </w:r>
      <w:r w:rsidRPr="000E2ACD">
        <w:rPr>
          <w:i/>
          <w:iCs/>
          <w:u w:val="single"/>
          <w:lang w:val="en-US"/>
        </w:rPr>
        <w:t>Management Decision, 62</w:t>
      </w:r>
      <w:r w:rsidRPr="000E2ACD">
        <w:rPr>
          <w:u w:val="single"/>
          <w:lang w:val="en-US"/>
        </w:rPr>
        <w:t>(8), 2690–2713. https://doi.org/10.1108/MD-02-2023-0269</w:t>
      </w:r>
    </w:p>
    <w:p w14:paraId="522A35EC" w14:textId="77777777" w:rsidR="00EF1C33" w:rsidRPr="000E2ACD" w:rsidRDefault="00000000">
      <w:pPr>
        <w:ind w:left="720" w:hanging="720"/>
        <w:rPr>
          <w:lang w:val="en-US"/>
        </w:rPr>
      </w:pPr>
      <w:proofErr w:type="spellStart"/>
      <w:r w:rsidRPr="000E2ACD">
        <w:rPr>
          <w:u w:val="single"/>
          <w:lang w:val="en-US"/>
        </w:rPr>
        <w:t>Sahidu</w:t>
      </w:r>
      <w:proofErr w:type="spellEnd"/>
      <w:r w:rsidRPr="000E2ACD">
        <w:rPr>
          <w:u w:val="single"/>
          <w:lang w:val="en-US"/>
        </w:rPr>
        <w:t xml:space="preserve"> Jawula Mandego, A., Owusu </w:t>
      </w:r>
      <w:proofErr w:type="spellStart"/>
      <w:r w:rsidRPr="000E2ACD">
        <w:rPr>
          <w:u w:val="single"/>
          <w:lang w:val="en-US"/>
        </w:rPr>
        <w:t>Kwateng</w:t>
      </w:r>
      <w:proofErr w:type="spellEnd"/>
      <w:r w:rsidRPr="000E2ACD">
        <w:rPr>
          <w:u w:val="single"/>
          <w:lang w:val="en-US"/>
        </w:rPr>
        <w:t xml:space="preserve">, K., Tetteh, F. K., &amp; Manu, D. (2026). Circular economy capability and supply chain sustainability: The roles of green orientation and technology orientation. </w:t>
      </w:r>
      <w:r w:rsidRPr="000E2ACD">
        <w:rPr>
          <w:i/>
          <w:iCs/>
          <w:u w:val="single"/>
          <w:lang w:val="en-US"/>
        </w:rPr>
        <w:t>International Journal of Logistics Management</w:t>
      </w:r>
      <w:r w:rsidRPr="000E2ACD">
        <w:rPr>
          <w:u w:val="single"/>
          <w:lang w:val="en-US"/>
        </w:rPr>
        <w:t xml:space="preserve">. </w:t>
      </w:r>
      <w:proofErr w:type="spellStart"/>
      <w:r w:rsidRPr="000E2ACD">
        <w:rPr>
          <w:u w:val="single"/>
          <w:lang w:val="en-US"/>
        </w:rPr>
        <w:t>Publicación</w:t>
      </w:r>
      <w:proofErr w:type="spellEnd"/>
      <w:r w:rsidRPr="000E2ACD">
        <w:rPr>
          <w:u w:val="single"/>
          <w:lang w:val="en-US"/>
        </w:rPr>
        <w:t xml:space="preserve"> </w:t>
      </w:r>
      <w:proofErr w:type="spellStart"/>
      <w:r w:rsidRPr="000E2ACD">
        <w:rPr>
          <w:u w:val="single"/>
          <w:lang w:val="en-US"/>
        </w:rPr>
        <w:t>anticipada</w:t>
      </w:r>
      <w:proofErr w:type="spellEnd"/>
      <w:r w:rsidRPr="000E2ACD">
        <w:rPr>
          <w:u w:val="single"/>
          <w:lang w:val="en-US"/>
        </w:rPr>
        <w:t xml:space="preserve"> </w:t>
      </w:r>
      <w:proofErr w:type="spellStart"/>
      <w:r w:rsidRPr="000E2ACD">
        <w:rPr>
          <w:u w:val="single"/>
          <w:lang w:val="en-US"/>
        </w:rPr>
        <w:t>en</w:t>
      </w:r>
      <w:proofErr w:type="spellEnd"/>
      <w:r w:rsidRPr="000E2ACD">
        <w:rPr>
          <w:u w:val="single"/>
          <w:lang w:val="en-US"/>
        </w:rPr>
        <w:t xml:space="preserve"> </w:t>
      </w:r>
      <w:proofErr w:type="spellStart"/>
      <w:r w:rsidRPr="000E2ACD">
        <w:rPr>
          <w:u w:val="single"/>
          <w:lang w:val="en-US"/>
        </w:rPr>
        <w:t>línea</w:t>
      </w:r>
      <w:proofErr w:type="spellEnd"/>
      <w:r w:rsidRPr="000E2ACD">
        <w:rPr>
          <w:u w:val="single"/>
          <w:lang w:val="en-US"/>
        </w:rPr>
        <w:t>. https://doi.org/10.1108/IJLM-07-2025-0455</w:t>
      </w:r>
    </w:p>
    <w:p w14:paraId="38638490" w14:textId="41CC0EF7" w:rsidR="00EF1C33" w:rsidRPr="000E2ACD" w:rsidRDefault="00000000">
      <w:pPr>
        <w:ind w:left="720" w:hanging="720"/>
        <w:rPr>
          <w:lang w:val="en-US"/>
        </w:rPr>
      </w:pPr>
      <w:r w:rsidRPr="000E2ACD">
        <w:rPr>
          <w:u w:val="single"/>
          <w:lang w:val="en-US"/>
        </w:rPr>
        <w:t xml:space="preserve">Sahoo, S., &amp; Jakhar, S. K. (2024). Industry 4.0 deployment for circular economy </w:t>
      </w:r>
      <w:proofErr w:type="spellStart"/>
      <w:r w:rsidRPr="000E2ACD">
        <w:rPr>
          <w:u w:val="single"/>
          <w:lang w:val="en-US"/>
        </w:rPr>
        <w:t>performanceUnderstanding</w:t>
      </w:r>
      <w:proofErr w:type="spellEnd"/>
      <w:r w:rsidRPr="000E2ACD">
        <w:rPr>
          <w:u w:val="single"/>
          <w:lang w:val="en-US"/>
        </w:rPr>
        <w:t xml:space="preserve"> the role of green procurement and remanufacturing activities. </w:t>
      </w:r>
      <w:r w:rsidRPr="000E2ACD">
        <w:rPr>
          <w:i/>
          <w:iCs/>
          <w:u w:val="single"/>
          <w:lang w:val="en-US"/>
        </w:rPr>
        <w:t>Business Strategy and the Environment, 33</w:t>
      </w:r>
      <w:r w:rsidRPr="000E2ACD">
        <w:rPr>
          <w:u w:val="single"/>
          <w:lang w:val="en-US"/>
        </w:rPr>
        <w:t>(2), 1144–1160. https://doi.org/10.1002/bse.3542</w:t>
      </w:r>
    </w:p>
    <w:p w14:paraId="5CE15C61" w14:textId="77777777" w:rsidR="00EF1C33" w:rsidRPr="000E2ACD" w:rsidRDefault="00000000">
      <w:pPr>
        <w:ind w:left="720" w:hanging="720"/>
        <w:rPr>
          <w:lang w:val="en-US"/>
        </w:rPr>
      </w:pPr>
      <w:r w:rsidRPr="000E2ACD">
        <w:rPr>
          <w:u w:val="single"/>
          <w:lang w:val="en-US"/>
        </w:rPr>
        <w:t xml:space="preserve">Sarkis, J., Zhu, Q., &amp; Lai, K.-H. (2011). An organizational theoretic review of green supply chain management literature. </w:t>
      </w:r>
      <w:r w:rsidRPr="000E2ACD">
        <w:rPr>
          <w:i/>
          <w:iCs/>
          <w:u w:val="single"/>
          <w:lang w:val="en-US"/>
        </w:rPr>
        <w:t>International Journal of Production Economics, 130</w:t>
      </w:r>
      <w:r w:rsidRPr="000E2ACD">
        <w:rPr>
          <w:u w:val="single"/>
          <w:lang w:val="en-US"/>
        </w:rPr>
        <w:t>(1), 1–15. https://doi.org/10.1016/j.ijpe.2010.11.010</w:t>
      </w:r>
    </w:p>
    <w:p w14:paraId="4CA1EDCC" w14:textId="77777777" w:rsidR="00EF1C33" w:rsidRPr="000E2ACD" w:rsidRDefault="00000000">
      <w:pPr>
        <w:ind w:left="720" w:hanging="720"/>
        <w:rPr>
          <w:lang w:val="en-US"/>
        </w:rPr>
      </w:pPr>
      <w:proofErr w:type="spellStart"/>
      <w:r>
        <w:rPr>
          <w:u w:val="single"/>
        </w:rPr>
        <w:t>Saroha</w:t>
      </w:r>
      <w:proofErr w:type="spellEnd"/>
      <w:r>
        <w:rPr>
          <w:u w:val="single"/>
        </w:rPr>
        <w:t xml:space="preserve">, M., Garg, D., &amp; Luthra, S. (2022). </w:t>
      </w:r>
      <w:r w:rsidRPr="000E2ACD">
        <w:rPr>
          <w:u w:val="single"/>
          <w:lang w:val="en-US"/>
        </w:rPr>
        <w:t xml:space="preserve">Analyzing the circular supply chain management performance measurement framework: The modified balanced scorecard technique. </w:t>
      </w:r>
      <w:r w:rsidRPr="000E2ACD">
        <w:rPr>
          <w:i/>
          <w:iCs/>
          <w:u w:val="single"/>
          <w:lang w:val="en-US"/>
        </w:rPr>
        <w:t>International Journal of System Assurance Engineering and Management, 13</w:t>
      </w:r>
      <w:r w:rsidRPr="000E2ACD">
        <w:rPr>
          <w:u w:val="single"/>
          <w:lang w:val="en-US"/>
        </w:rPr>
        <w:t>, 951–960. https://doi.org/10.1007/s13198-021-01482-4</w:t>
      </w:r>
    </w:p>
    <w:p w14:paraId="7B2C8EE9" w14:textId="77777777" w:rsidR="00EF1C33" w:rsidRPr="000E2ACD" w:rsidRDefault="00000000">
      <w:pPr>
        <w:ind w:left="720" w:hanging="720"/>
        <w:rPr>
          <w:lang w:val="en-US"/>
        </w:rPr>
      </w:pPr>
      <w:proofErr w:type="spellStart"/>
      <w:r w:rsidRPr="000E2ACD">
        <w:rPr>
          <w:u w:val="single"/>
          <w:lang w:val="en-US"/>
        </w:rPr>
        <w:t>Seuring</w:t>
      </w:r>
      <w:proofErr w:type="spellEnd"/>
      <w:r w:rsidRPr="000E2ACD">
        <w:rPr>
          <w:u w:val="single"/>
          <w:lang w:val="en-US"/>
        </w:rPr>
        <w:t xml:space="preserve">, S., &amp; Müller, M. (2008). From a literature review to a conceptual framework for sustainable supply chain management. </w:t>
      </w:r>
      <w:r w:rsidRPr="000E2ACD">
        <w:rPr>
          <w:i/>
          <w:iCs/>
          <w:u w:val="single"/>
          <w:lang w:val="en-US"/>
        </w:rPr>
        <w:t>Journal of Cleaner Production, 16</w:t>
      </w:r>
      <w:r w:rsidRPr="000E2ACD">
        <w:rPr>
          <w:u w:val="single"/>
          <w:lang w:val="en-US"/>
        </w:rPr>
        <w:t>(15), 1699–1710. https://doi.org/10.1016/j.jclepro.2008.04.020</w:t>
      </w:r>
    </w:p>
    <w:p w14:paraId="77737EBF" w14:textId="77777777" w:rsidR="00EF1C33" w:rsidRPr="000E2ACD" w:rsidRDefault="00000000">
      <w:pPr>
        <w:ind w:left="720" w:hanging="720"/>
        <w:rPr>
          <w:lang w:val="en-US"/>
        </w:rPr>
      </w:pPr>
      <w:r w:rsidRPr="000E2ACD">
        <w:rPr>
          <w:u w:val="single"/>
          <w:lang w:val="en-US"/>
        </w:rPr>
        <w:t xml:space="preserve">Shahzad, F., Ben Zaied, Y., &amp; Zhang, Q. (2026). Integrating Industry 4.0 technologies into green supply chains: An empirical investigation of pathways to green innovation and circular </w:t>
      </w:r>
      <w:r w:rsidRPr="000E2ACD">
        <w:rPr>
          <w:u w:val="single"/>
          <w:lang w:val="en-US"/>
        </w:rPr>
        <w:lastRenderedPageBreak/>
        <w:t xml:space="preserve">economy. </w:t>
      </w:r>
      <w:r w:rsidRPr="000E2ACD">
        <w:rPr>
          <w:i/>
          <w:iCs/>
          <w:u w:val="single"/>
          <w:lang w:val="en-US"/>
        </w:rPr>
        <w:t>International Journal of Production Economics, 291</w:t>
      </w:r>
      <w:r w:rsidRPr="000E2ACD">
        <w:rPr>
          <w:u w:val="single"/>
          <w:lang w:val="en-US"/>
        </w:rPr>
        <w:t>, 109859. https://doi.org/10.1016/j.ijpe.2025.109859</w:t>
      </w:r>
    </w:p>
    <w:p w14:paraId="24D25A34" w14:textId="77777777" w:rsidR="00EF1C33" w:rsidRPr="000E2ACD" w:rsidRDefault="00000000">
      <w:pPr>
        <w:ind w:left="720" w:hanging="720"/>
        <w:rPr>
          <w:lang w:val="en-US"/>
        </w:rPr>
      </w:pPr>
      <w:r w:rsidRPr="000E2ACD">
        <w:rPr>
          <w:u w:val="single"/>
          <w:lang w:val="en-US"/>
        </w:rPr>
        <w:t xml:space="preserve">Singh, R., Leal, W., Kumar, V., &amp; Ali, A. (2026). Global best practices in tech driven sustainability: Smart CE and manufacturing sector. </w:t>
      </w:r>
      <w:r w:rsidRPr="000E2ACD">
        <w:rPr>
          <w:i/>
          <w:iCs/>
          <w:u w:val="single"/>
          <w:lang w:val="en-US"/>
        </w:rPr>
        <w:t>World Sustainability Series, F1465</w:t>
      </w:r>
      <w:r w:rsidRPr="000E2ACD">
        <w:rPr>
          <w:u w:val="single"/>
          <w:lang w:val="en-US"/>
        </w:rPr>
        <w:t>, 3–18. https://doi.org/10.1007/978-3-032-13412-7_1</w:t>
      </w:r>
    </w:p>
    <w:p w14:paraId="34DB3743" w14:textId="77777777" w:rsidR="00EF1C33" w:rsidRPr="000E2ACD" w:rsidRDefault="00000000">
      <w:pPr>
        <w:ind w:left="720" w:hanging="720"/>
        <w:rPr>
          <w:lang w:val="en-US"/>
        </w:rPr>
      </w:pPr>
      <w:r w:rsidRPr="000E2ACD">
        <w:rPr>
          <w:u w:val="single"/>
          <w:lang w:val="en-US"/>
        </w:rPr>
        <w:t xml:space="preserve">Srivastava, S. K. (2007). Green supply-chain management: A state-of-the-art literature review. </w:t>
      </w:r>
      <w:r w:rsidRPr="000E2ACD">
        <w:rPr>
          <w:i/>
          <w:iCs/>
          <w:u w:val="single"/>
          <w:lang w:val="en-US"/>
        </w:rPr>
        <w:t>International Journal of Management Reviews, 9</w:t>
      </w:r>
      <w:r w:rsidRPr="000E2ACD">
        <w:rPr>
          <w:u w:val="single"/>
          <w:lang w:val="en-US"/>
        </w:rPr>
        <w:t>(1), 53–80. https://doi.org/10.1111/j.1468-2370.2007.00202.x</w:t>
      </w:r>
    </w:p>
    <w:p w14:paraId="58E3CBEC" w14:textId="77777777" w:rsidR="00EF1C33" w:rsidRPr="000E2ACD" w:rsidRDefault="00000000">
      <w:pPr>
        <w:ind w:left="720" w:hanging="720"/>
        <w:rPr>
          <w:lang w:val="en-US"/>
        </w:rPr>
      </w:pPr>
      <w:r w:rsidRPr="000E2ACD">
        <w:rPr>
          <w:u w:val="single"/>
          <w:lang w:val="en-US"/>
        </w:rPr>
        <w:t xml:space="preserve">Stahel, W. R. (2016). The circular economy. </w:t>
      </w:r>
      <w:r w:rsidRPr="000E2ACD">
        <w:rPr>
          <w:i/>
          <w:iCs/>
          <w:u w:val="single"/>
          <w:lang w:val="en-US"/>
        </w:rPr>
        <w:t>Nature, 531</w:t>
      </w:r>
      <w:r w:rsidRPr="000E2ACD">
        <w:rPr>
          <w:u w:val="single"/>
          <w:lang w:val="en-US"/>
        </w:rPr>
        <w:t>(7595), 435–438. https://doi.org/10.1038/531435a</w:t>
      </w:r>
    </w:p>
    <w:p w14:paraId="3612FA9F" w14:textId="77777777" w:rsidR="00EF1C33" w:rsidRPr="000E2ACD" w:rsidRDefault="00000000">
      <w:pPr>
        <w:ind w:left="720" w:hanging="720"/>
        <w:rPr>
          <w:lang w:val="en-US"/>
        </w:rPr>
      </w:pPr>
      <w:r w:rsidRPr="000E2ACD">
        <w:rPr>
          <w:u w:val="single"/>
          <w:lang w:val="en-US"/>
        </w:rPr>
        <w:t xml:space="preserve">Stenzel, A., &amp; </w:t>
      </w:r>
      <w:proofErr w:type="spellStart"/>
      <w:r w:rsidRPr="000E2ACD">
        <w:rPr>
          <w:u w:val="single"/>
          <w:lang w:val="en-US"/>
        </w:rPr>
        <w:t>Waichman</w:t>
      </w:r>
      <w:proofErr w:type="spellEnd"/>
      <w:r w:rsidRPr="000E2ACD">
        <w:rPr>
          <w:u w:val="single"/>
          <w:lang w:val="en-US"/>
        </w:rPr>
        <w:t xml:space="preserve">, I. (2023). Supply-chain data sharing for scope 3 emissions. </w:t>
      </w:r>
      <w:proofErr w:type="spellStart"/>
      <w:r w:rsidRPr="000E2ACD">
        <w:rPr>
          <w:i/>
          <w:iCs/>
          <w:u w:val="single"/>
          <w:lang w:val="en-US"/>
        </w:rPr>
        <w:t>npj</w:t>
      </w:r>
      <w:proofErr w:type="spellEnd"/>
      <w:r w:rsidRPr="000E2ACD">
        <w:rPr>
          <w:i/>
          <w:iCs/>
          <w:u w:val="single"/>
          <w:lang w:val="en-US"/>
        </w:rPr>
        <w:t xml:space="preserve"> Climate Action, 2</w:t>
      </w:r>
      <w:r w:rsidRPr="000E2ACD">
        <w:rPr>
          <w:u w:val="single"/>
          <w:lang w:val="en-US"/>
        </w:rPr>
        <w:t>, 7. https://doi.org/10.1038/s44168-023-00032-x</w:t>
      </w:r>
    </w:p>
    <w:p w14:paraId="11257018" w14:textId="77777777" w:rsidR="00EF1C33" w:rsidRPr="000E2ACD" w:rsidRDefault="00000000">
      <w:pPr>
        <w:ind w:left="720" w:hanging="720"/>
        <w:rPr>
          <w:lang w:val="en-US"/>
        </w:rPr>
      </w:pPr>
      <w:r>
        <w:rPr>
          <w:u w:val="single"/>
        </w:rPr>
        <w:t xml:space="preserve">Taddei, E., Sassanelli, C., Rosa, P., &amp; Terzi, S. (2022). </w:t>
      </w:r>
      <w:r w:rsidRPr="000E2ACD">
        <w:rPr>
          <w:u w:val="single"/>
          <w:lang w:val="en-US"/>
        </w:rPr>
        <w:t xml:space="preserve">Circular supply chains in the era of Industry 4.0: A systematic literature review. </w:t>
      </w:r>
      <w:r w:rsidRPr="000E2ACD">
        <w:rPr>
          <w:i/>
          <w:iCs/>
          <w:u w:val="single"/>
          <w:lang w:val="en-US"/>
        </w:rPr>
        <w:t>Computers &amp; Industrial Engineering, 170</w:t>
      </w:r>
      <w:r w:rsidRPr="000E2ACD">
        <w:rPr>
          <w:u w:val="single"/>
          <w:lang w:val="en-US"/>
        </w:rPr>
        <w:t>, 108268. https://doi.org/10.1016/j.cie.2022.108268</w:t>
      </w:r>
    </w:p>
    <w:p w14:paraId="644A0363" w14:textId="77777777" w:rsidR="00EF1C33" w:rsidRPr="000E2ACD" w:rsidRDefault="00000000">
      <w:pPr>
        <w:ind w:left="720" w:hanging="720"/>
        <w:rPr>
          <w:lang w:val="en-US"/>
        </w:rPr>
      </w:pPr>
      <w:proofErr w:type="spellStart"/>
      <w:r w:rsidRPr="000E2ACD">
        <w:rPr>
          <w:u w:val="single"/>
          <w:lang w:val="en-US"/>
        </w:rPr>
        <w:t>Theeraworawit</w:t>
      </w:r>
      <w:proofErr w:type="spellEnd"/>
      <w:r w:rsidRPr="000E2ACD">
        <w:rPr>
          <w:u w:val="single"/>
          <w:lang w:val="en-US"/>
        </w:rPr>
        <w:t xml:space="preserve">, M., </w:t>
      </w:r>
      <w:proofErr w:type="spellStart"/>
      <w:r w:rsidRPr="000E2ACD">
        <w:rPr>
          <w:u w:val="single"/>
          <w:lang w:val="en-US"/>
        </w:rPr>
        <w:t>Suriyankietkaew</w:t>
      </w:r>
      <w:proofErr w:type="spellEnd"/>
      <w:r w:rsidRPr="000E2ACD">
        <w:rPr>
          <w:u w:val="single"/>
          <w:lang w:val="en-US"/>
        </w:rPr>
        <w:t xml:space="preserve">, S., &amp; Hallinger, P. (2022). Sustainable supply chain management in a circular economy: A bibliometric review. </w:t>
      </w:r>
      <w:r w:rsidRPr="000E2ACD">
        <w:rPr>
          <w:i/>
          <w:iCs/>
          <w:u w:val="single"/>
          <w:lang w:val="en-US"/>
        </w:rPr>
        <w:t>Sustainability, 14</w:t>
      </w:r>
      <w:r w:rsidRPr="000E2ACD">
        <w:rPr>
          <w:u w:val="single"/>
          <w:lang w:val="en-US"/>
        </w:rPr>
        <w:t>(15), 9304. https://doi.org/10.3390/su14159304</w:t>
      </w:r>
    </w:p>
    <w:p w14:paraId="0670CF6D" w14:textId="77777777" w:rsidR="00EF1C33" w:rsidRPr="000E2ACD" w:rsidRDefault="00000000">
      <w:pPr>
        <w:ind w:left="720" w:hanging="720"/>
        <w:rPr>
          <w:lang w:val="en-US"/>
        </w:rPr>
      </w:pPr>
      <w:r w:rsidRPr="000E2ACD">
        <w:rPr>
          <w:u w:val="single"/>
          <w:lang w:val="en-US"/>
        </w:rPr>
        <w:t xml:space="preserve">Tseng, M.-L., Islam, M. S., Karia, N., Fauzi, F. A., &amp; Afrin, S. (2019). A literature review on green supply chain management: Trends and future challenges. </w:t>
      </w:r>
      <w:r w:rsidRPr="000E2ACD">
        <w:rPr>
          <w:i/>
          <w:iCs/>
          <w:u w:val="single"/>
          <w:lang w:val="en-US"/>
        </w:rPr>
        <w:t>Resources, Conservation and Recycling, 141</w:t>
      </w:r>
      <w:r w:rsidRPr="000E2ACD">
        <w:rPr>
          <w:u w:val="single"/>
          <w:lang w:val="en-US"/>
        </w:rPr>
        <w:t>, 145–162. https://doi.org/10.1016/j.resconrec.2018.10.009</w:t>
      </w:r>
    </w:p>
    <w:p w14:paraId="30D22FA3" w14:textId="77777777" w:rsidR="00EF1C33" w:rsidRPr="000E2ACD" w:rsidRDefault="00000000">
      <w:pPr>
        <w:ind w:left="720" w:hanging="720"/>
        <w:rPr>
          <w:lang w:val="en-US"/>
        </w:rPr>
      </w:pPr>
      <w:proofErr w:type="spellStart"/>
      <w:r w:rsidRPr="000E2ACD">
        <w:rPr>
          <w:u w:val="single"/>
          <w:lang w:val="en-US"/>
        </w:rPr>
        <w:t>Voulgaridis</w:t>
      </w:r>
      <w:proofErr w:type="spellEnd"/>
      <w:r w:rsidRPr="000E2ACD">
        <w:rPr>
          <w:u w:val="single"/>
          <w:lang w:val="en-US"/>
        </w:rPr>
        <w:t xml:space="preserve">, K., </w:t>
      </w:r>
      <w:proofErr w:type="spellStart"/>
      <w:r w:rsidRPr="000E2ACD">
        <w:rPr>
          <w:u w:val="single"/>
          <w:lang w:val="en-US"/>
        </w:rPr>
        <w:t>Lagkas</w:t>
      </w:r>
      <w:proofErr w:type="spellEnd"/>
      <w:r w:rsidRPr="000E2ACD">
        <w:rPr>
          <w:u w:val="single"/>
          <w:lang w:val="en-US"/>
        </w:rPr>
        <w:t xml:space="preserve">, T., Angelopoulos, C. M., </w:t>
      </w:r>
      <w:proofErr w:type="spellStart"/>
      <w:r w:rsidRPr="000E2ACD">
        <w:rPr>
          <w:u w:val="single"/>
          <w:lang w:val="en-US"/>
        </w:rPr>
        <w:t>Boulogeorgos</w:t>
      </w:r>
      <w:proofErr w:type="spellEnd"/>
      <w:r w:rsidRPr="000E2ACD">
        <w:rPr>
          <w:u w:val="single"/>
          <w:lang w:val="en-US"/>
        </w:rPr>
        <w:t xml:space="preserve">, A.-A. A., Argyriou, V., &amp; </w:t>
      </w:r>
      <w:proofErr w:type="spellStart"/>
      <w:r w:rsidRPr="000E2ACD">
        <w:rPr>
          <w:u w:val="single"/>
          <w:lang w:val="en-US"/>
        </w:rPr>
        <w:t>Sarigiannidis</w:t>
      </w:r>
      <w:proofErr w:type="spellEnd"/>
      <w:r w:rsidRPr="000E2ACD">
        <w:rPr>
          <w:u w:val="single"/>
          <w:lang w:val="en-US"/>
        </w:rPr>
        <w:t xml:space="preserve">, P. (2024). Digital product passports as enablers of digital circular </w:t>
      </w:r>
      <w:r w:rsidRPr="000E2ACD">
        <w:rPr>
          <w:u w:val="single"/>
          <w:lang w:val="en-US"/>
        </w:rPr>
        <w:lastRenderedPageBreak/>
        <w:t xml:space="preserve">economy: A framework based on technological perspective. </w:t>
      </w:r>
      <w:r w:rsidRPr="000E2ACD">
        <w:rPr>
          <w:i/>
          <w:iCs/>
          <w:u w:val="single"/>
          <w:lang w:val="en-US"/>
        </w:rPr>
        <w:t>Telecommunication Systems, 85</w:t>
      </w:r>
      <w:r w:rsidRPr="000E2ACD">
        <w:rPr>
          <w:u w:val="single"/>
          <w:lang w:val="en-US"/>
        </w:rPr>
        <w:t>(4), 699–715. https://doi.org/10.1007/s11235-024-01104-x</w:t>
      </w:r>
    </w:p>
    <w:p w14:paraId="0A7A4C0C" w14:textId="77777777" w:rsidR="00EF1C33" w:rsidRPr="000E2ACD" w:rsidRDefault="00000000">
      <w:pPr>
        <w:ind w:left="720" w:hanging="720"/>
        <w:rPr>
          <w:lang w:val="en-US"/>
        </w:rPr>
      </w:pPr>
      <w:r w:rsidRPr="000E2ACD">
        <w:rPr>
          <w:u w:val="single"/>
          <w:lang w:val="en-US"/>
        </w:rPr>
        <w:t xml:space="preserve">Wang, J., Hong, Z., &amp; Long, H. (2023). Digital transformation empowers ESG performance in the manufacturing industry: From ESG to DESG. </w:t>
      </w:r>
      <w:r w:rsidRPr="000E2ACD">
        <w:rPr>
          <w:i/>
          <w:iCs/>
          <w:u w:val="single"/>
          <w:lang w:val="en-US"/>
        </w:rPr>
        <w:t>SAGE Open, 13</w:t>
      </w:r>
      <w:r w:rsidRPr="000E2ACD">
        <w:rPr>
          <w:u w:val="single"/>
          <w:lang w:val="en-US"/>
        </w:rPr>
        <w:t>(4). https://doi.org/10.1177/21582440231204158</w:t>
      </w:r>
    </w:p>
    <w:p w14:paraId="10C414F2" w14:textId="77777777" w:rsidR="00EF1C33" w:rsidRPr="000E2ACD" w:rsidRDefault="00000000">
      <w:pPr>
        <w:ind w:left="720" w:hanging="720"/>
        <w:rPr>
          <w:lang w:val="en-US"/>
        </w:rPr>
      </w:pPr>
      <w:r w:rsidRPr="000E2ACD">
        <w:rPr>
          <w:u w:val="single"/>
          <w:lang w:val="en-US"/>
        </w:rPr>
        <w:t xml:space="preserve">Wang, Y., &amp; Ozturk, I. (2023). Role of green innovation, green internal, and external supply chain management practices: A gateway to environmental sustainability. </w:t>
      </w:r>
      <w:r w:rsidRPr="000E2ACD">
        <w:rPr>
          <w:i/>
          <w:iCs/>
          <w:u w:val="single"/>
          <w:lang w:val="en-US"/>
        </w:rPr>
        <w:t>Economic Research-</w:t>
      </w:r>
      <w:proofErr w:type="spellStart"/>
      <w:r w:rsidRPr="000E2ACD">
        <w:rPr>
          <w:i/>
          <w:iCs/>
          <w:u w:val="single"/>
          <w:lang w:val="en-US"/>
        </w:rPr>
        <w:t>Ekonomska</w:t>
      </w:r>
      <w:proofErr w:type="spellEnd"/>
      <w:r w:rsidRPr="000E2ACD">
        <w:rPr>
          <w:i/>
          <w:iCs/>
          <w:u w:val="single"/>
          <w:lang w:val="en-US"/>
        </w:rPr>
        <w:t xml:space="preserve"> </w:t>
      </w:r>
      <w:proofErr w:type="spellStart"/>
      <w:r w:rsidRPr="000E2ACD">
        <w:rPr>
          <w:i/>
          <w:iCs/>
          <w:u w:val="single"/>
          <w:lang w:val="en-US"/>
        </w:rPr>
        <w:t>Istraživanja</w:t>
      </w:r>
      <w:proofErr w:type="spellEnd"/>
      <w:r w:rsidRPr="000E2ACD">
        <w:rPr>
          <w:i/>
          <w:iCs/>
          <w:u w:val="single"/>
          <w:lang w:val="en-US"/>
        </w:rPr>
        <w:t>, 36</w:t>
      </w:r>
      <w:r w:rsidRPr="000E2ACD">
        <w:rPr>
          <w:u w:val="single"/>
          <w:lang w:val="en-US"/>
        </w:rPr>
        <w:t>(3), 2192769. https://doi.org/10.1080/1331677X.2023.2192769</w:t>
      </w:r>
    </w:p>
    <w:p w14:paraId="4D643E50" w14:textId="77777777" w:rsidR="00EF1C33" w:rsidRPr="000E2ACD" w:rsidRDefault="00000000">
      <w:pPr>
        <w:ind w:left="720" w:hanging="720"/>
        <w:rPr>
          <w:lang w:val="en-US"/>
        </w:rPr>
      </w:pPr>
      <w:r w:rsidRPr="000E2ACD">
        <w:rPr>
          <w:u w:val="single"/>
          <w:lang w:val="en-US"/>
        </w:rPr>
        <w:t xml:space="preserve">Wiredu, J., Yang, Q., </w:t>
      </w:r>
      <w:proofErr w:type="spellStart"/>
      <w:r w:rsidRPr="000E2ACD">
        <w:rPr>
          <w:u w:val="single"/>
          <w:lang w:val="en-US"/>
        </w:rPr>
        <w:t>Sampene</w:t>
      </w:r>
      <w:proofErr w:type="spellEnd"/>
      <w:r w:rsidRPr="000E2ACD">
        <w:rPr>
          <w:u w:val="single"/>
          <w:lang w:val="en-US"/>
        </w:rPr>
        <w:t xml:space="preserve">, A. K., Gyamfi, B. A., &amp; </w:t>
      </w:r>
      <w:proofErr w:type="spellStart"/>
      <w:r w:rsidRPr="000E2ACD">
        <w:rPr>
          <w:u w:val="single"/>
          <w:lang w:val="en-US"/>
        </w:rPr>
        <w:t>Asongu</w:t>
      </w:r>
      <w:proofErr w:type="spellEnd"/>
      <w:r w:rsidRPr="000E2ACD">
        <w:rPr>
          <w:u w:val="single"/>
          <w:lang w:val="en-US"/>
        </w:rPr>
        <w:t xml:space="preserve">, S. A. (2024). The effect of green supply chain management practices on corporate environmental performance: Does supply chain competitive advantage matter? </w:t>
      </w:r>
      <w:r w:rsidRPr="000E2ACD">
        <w:rPr>
          <w:i/>
          <w:iCs/>
          <w:u w:val="single"/>
          <w:lang w:val="en-US"/>
        </w:rPr>
        <w:t>Business Strategy and the Environment, 33</w:t>
      </w:r>
      <w:r w:rsidRPr="000E2ACD">
        <w:rPr>
          <w:u w:val="single"/>
          <w:lang w:val="en-US"/>
        </w:rPr>
        <w:t>(3), 2578–2599. https://doi.org/10.1002/bse.3606</w:t>
      </w:r>
    </w:p>
    <w:p w14:paraId="19B757F5" w14:textId="61CC1F37" w:rsidR="00EF1C33" w:rsidRPr="000E2ACD" w:rsidRDefault="00000000">
      <w:pPr>
        <w:ind w:left="720" w:hanging="720"/>
        <w:rPr>
          <w:lang w:val="en-US"/>
        </w:rPr>
      </w:pPr>
      <w:r w:rsidRPr="000E2ACD">
        <w:rPr>
          <w:u w:val="single"/>
          <w:lang w:val="en-US"/>
        </w:rPr>
        <w:t xml:space="preserve">World Business Council for Sustainable Development, &amp; World Resources Institute. (2011). </w:t>
      </w:r>
      <w:r w:rsidRPr="000E2ACD">
        <w:rPr>
          <w:i/>
          <w:iCs/>
          <w:u w:val="single"/>
          <w:lang w:val="en-US"/>
        </w:rPr>
        <w:t>The greenhouse gas protocol: A corporate accounting and reporting standard</w:t>
      </w:r>
      <w:r w:rsidRPr="000E2ACD">
        <w:rPr>
          <w:u w:val="single"/>
          <w:lang w:val="en-US"/>
        </w:rPr>
        <w:t xml:space="preserve"> (Rev. ed.). WBCSD &amp; WRI.</w:t>
      </w:r>
      <w:r w:rsidR="00F02075" w:rsidRPr="00F02075">
        <w:rPr>
          <w:u w:val="single"/>
          <w:lang w:val="en-US"/>
        </w:rPr>
        <w:t xml:space="preserve"> https://docs.wbcsd.org/2011/09/Product_Life_Cycle_Accounting_Reporting_Standard.pdf</w:t>
      </w:r>
    </w:p>
    <w:p w14:paraId="29B62421" w14:textId="4C66EBC7" w:rsidR="00EF1C33" w:rsidRPr="000E2ACD" w:rsidRDefault="00000000">
      <w:pPr>
        <w:ind w:left="720" w:hanging="720"/>
        <w:rPr>
          <w:lang w:val="en-US"/>
        </w:rPr>
      </w:pPr>
      <w:r w:rsidRPr="000E2ACD">
        <w:rPr>
          <w:u w:val="single"/>
          <w:lang w:val="en-US"/>
        </w:rPr>
        <w:t xml:space="preserve">Xu, X., Lu, Y., Vogel-Heuser, B., &amp; Wang, L. (2021). Industry 4.0 and Industry 5.0Inception, conception and perception. </w:t>
      </w:r>
      <w:r w:rsidRPr="000E2ACD">
        <w:rPr>
          <w:i/>
          <w:iCs/>
          <w:u w:val="single"/>
          <w:lang w:val="en-US"/>
        </w:rPr>
        <w:t>Journal of Manufacturing Systems, 61</w:t>
      </w:r>
      <w:r w:rsidRPr="000E2ACD">
        <w:rPr>
          <w:u w:val="single"/>
          <w:lang w:val="en-US"/>
        </w:rPr>
        <w:t>, 530–535. https://doi.org/10.1016/j.jmsy.2021.10.006</w:t>
      </w:r>
    </w:p>
    <w:p w14:paraId="4B94BC76" w14:textId="77777777" w:rsidR="00EF1C33" w:rsidRPr="000E2ACD" w:rsidRDefault="00000000">
      <w:pPr>
        <w:ind w:left="720" w:hanging="720"/>
        <w:rPr>
          <w:lang w:val="en-US"/>
        </w:rPr>
      </w:pPr>
      <w:r w:rsidRPr="000E2ACD">
        <w:rPr>
          <w:u w:val="single"/>
          <w:lang w:val="en-US"/>
        </w:rPr>
        <w:t xml:space="preserve">Yang, J., Zuo, Z., Li, Y., &amp; Guo, H. (2024). Manufacturing enterprises move towards sustainable development: ESG performance, market-based environmental regulation, and green </w:t>
      </w:r>
      <w:r w:rsidRPr="000E2ACD">
        <w:rPr>
          <w:u w:val="single"/>
          <w:lang w:val="en-US"/>
        </w:rPr>
        <w:lastRenderedPageBreak/>
        <w:t xml:space="preserve">technological innovation. </w:t>
      </w:r>
      <w:r w:rsidRPr="000E2ACD">
        <w:rPr>
          <w:i/>
          <w:iCs/>
          <w:u w:val="single"/>
          <w:lang w:val="en-US"/>
        </w:rPr>
        <w:t>Journal of Environmental Management, 370</w:t>
      </w:r>
      <w:r w:rsidRPr="000E2ACD">
        <w:rPr>
          <w:u w:val="single"/>
          <w:lang w:val="en-US"/>
        </w:rPr>
        <w:t>, 123244. https://doi.org/10.1016/j.jenvman.2024.123244</w:t>
      </w:r>
    </w:p>
    <w:p w14:paraId="240ED6BB" w14:textId="77777777" w:rsidR="00EF1C33" w:rsidRPr="000E2ACD" w:rsidRDefault="00000000">
      <w:pPr>
        <w:ind w:left="720" w:hanging="720"/>
        <w:rPr>
          <w:lang w:val="en-US"/>
        </w:rPr>
      </w:pPr>
      <w:r w:rsidRPr="000E2ACD">
        <w:rPr>
          <w:u w:val="single"/>
          <w:lang w:val="en-US"/>
        </w:rPr>
        <w:t xml:space="preserve">Ye, J., &amp; Xu, W. (2023). Carbon reduction effect of ESG: Empirical evidence from listed manufacturing companies in China. </w:t>
      </w:r>
      <w:r w:rsidRPr="000E2ACD">
        <w:rPr>
          <w:i/>
          <w:iCs/>
          <w:u w:val="single"/>
          <w:lang w:val="en-US"/>
        </w:rPr>
        <w:t>Frontiers in Ecology and Evolution, 11</w:t>
      </w:r>
      <w:r w:rsidRPr="000E2ACD">
        <w:rPr>
          <w:u w:val="single"/>
          <w:lang w:val="en-US"/>
        </w:rPr>
        <w:t>, 1311777. https://doi.org/10.3389/fevo.2023.1311777</w:t>
      </w:r>
    </w:p>
    <w:p w14:paraId="685091EF" w14:textId="77777777" w:rsidR="00EF1C33" w:rsidRPr="000E2ACD" w:rsidRDefault="00000000">
      <w:pPr>
        <w:ind w:left="720" w:hanging="720"/>
        <w:rPr>
          <w:lang w:val="en-US"/>
        </w:rPr>
      </w:pPr>
      <w:r w:rsidRPr="000E2ACD">
        <w:rPr>
          <w:u w:val="single"/>
          <w:lang w:val="en-US"/>
        </w:rPr>
        <w:t xml:space="preserve">Yin, F., Xiao, Y., Cao, R., &amp; Zhang, J. (2023). Impacts of ESG disclosure on corporate carbon performance: Empirical evidence from listed companies in heavy pollution industries. </w:t>
      </w:r>
      <w:r w:rsidRPr="000E2ACD">
        <w:rPr>
          <w:i/>
          <w:iCs/>
          <w:u w:val="single"/>
          <w:lang w:val="en-US"/>
        </w:rPr>
        <w:t>Sustainability, 15</w:t>
      </w:r>
      <w:r w:rsidRPr="000E2ACD">
        <w:rPr>
          <w:u w:val="single"/>
          <w:lang w:val="en-US"/>
        </w:rPr>
        <w:t>(21), 15296. https://doi.org/10.3390/su152115296</w:t>
      </w:r>
    </w:p>
    <w:p w14:paraId="75FB5B08" w14:textId="77777777" w:rsidR="00EF1C33" w:rsidRPr="000E2ACD" w:rsidRDefault="00000000">
      <w:pPr>
        <w:ind w:left="720" w:hanging="720"/>
        <w:rPr>
          <w:lang w:val="en-US"/>
        </w:rPr>
      </w:pPr>
      <w:r w:rsidRPr="000E2ACD">
        <w:rPr>
          <w:u w:val="single"/>
          <w:lang w:val="en-US"/>
        </w:rPr>
        <w:t xml:space="preserve">Zhu, Q., Sarkis, J., &amp; Lai, K.-H. (2008). Confirmation of a measurement model for green supply chain management practices implementation. </w:t>
      </w:r>
      <w:r w:rsidRPr="000E2ACD">
        <w:rPr>
          <w:i/>
          <w:iCs/>
          <w:u w:val="single"/>
          <w:lang w:val="en-US"/>
        </w:rPr>
        <w:t>International Journal of Production Economics, 111</w:t>
      </w:r>
      <w:r w:rsidRPr="000E2ACD">
        <w:rPr>
          <w:u w:val="single"/>
          <w:lang w:val="en-US"/>
        </w:rPr>
        <w:t>(2), 261–273. https://doi.org/10.1016/j.ijpe.2006.11.029</w:t>
      </w:r>
    </w:p>
    <w:p w14:paraId="4E1DBAEA" w14:textId="60F1CF0B" w:rsidR="00EF1C33" w:rsidRPr="000E2ACD" w:rsidRDefault="00EF1C33">
      <w:pPr>
        <w:rPr>
          <w:lang w:val="en-US"/>
        </w:rPr>
      </w:pPr>
    </w:p>
    <w:sectPr w:rsidR="00EF1C33" w:rsidRPr="000E2ACD">
      <w:head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13CFFB" w14:textId="77777777" w:rsidR="000E286D" w:rsidRDefault="000E286D">
      <w:pPr>
        <w:spacing w:line="240" w:lineRule="auto"/>
      </w:pPr>
      <w:r>
        <w:separator/>
      </w:r>
    </w:p>
  </w:endnote>
  <w:endnote w:type="continuationSeparator" w:id="0">
    <w:p w14:paraId="257BADB2" w14:textId="77777777" w:rsidR="000E286D" w:rsidRDefault="000E286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0632FB" w14:textId="77777777" w:rsidR="000E286D" w:rsidRDefault="000E286D">
      <w:pPr>
        <w:spacing w:line="240" w:lineRule="auto"/>
      </w:pPr>
      <w:r>
        <w:separator/>
      </w:r>
    </w:p>
  </w:footnote>
  <w:footnote w:type="continuationSeparator" w:id="0">
    <w:p w14:paraId="7EC8B55E" w14:textId="77777777" w:rsidR="000E286D" w:rsidRDefault="000E286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7CE48E" w14:textId="77777777" w:rsidR="00EF1C33" w:rsidRDefault="00000000">
    <w:pPr>
      <w:jc w:val="right"/>
    </w:pPr>
    <w:r>
      <w:fldChar w:fldCharType="begin"/>
    </w:r>
    <w:r>
      <w:instrText>PAGE</w:instrText>
    </w:r>
    <w:r>
      <w:fldChar w:fldCharType="separate"/>
    </w:r>
    <w:r w:rsidR="000E2ACD">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E77FDE"/>
    <w:multiLevelType w:val="hybridMultilevel"/>
    <w:tmpl w:val="55947BEE"/>
    <w:lvl w:ilvl="0" w:tplc="E4B220D8">
      <w:start w:val="1"/>
      <w:numFmt w:val="decimal"/>
      <w:lvlText w:val="%1."/>
      <w:lvlJc w:val="left"/>
      <w:pPr>
        <w:ind w:left="720" w:hanging="360"/>
      </w:pPr>
    </w:lvl>
    <w:lvl w:ilvl="1" w:tplc="426CAB0E">
      <w:numFmt w:val="decimal"/>
      <w:lvlText w:val=""/>
      <w:lvlJc w:val="left"/>
    </w:lvl>
    <w:lvl w:ilvl="2" w:tplc="DEF0280C">
      <w:numFmt w:val="decimal"/>
      <w:lvlText w:val=""/>
      <w:lvlJc w:val="left"/>
    </w:lvl>
    <w:lvl w:ilvl="3" w:tplc="BBB0E95C">
      <w:numFmt w:val="decimal"/>
      <w:lvlText w:val=""/>
      <w:lvlJc w:val="left"/>
    </w:lvl>
    <w:lvl w:ilvl="4" w:tplc="332EC9EA">
      <w:numFmt w:val="decimal"/>
      <w:lvlText w:val=""/>
      <w:lvlJc w:val="left"/>
    </w:lvl>
    <w:lvl w:ilvl="5" w:tplc="D528F534">
      <w:numFmt w:val="decimal"/>
      <w:lvlText w:val=""/>
      <w:lvlJc w:val="left"/>
    </w:lvl>
    <w:lvl w:ilvl="6" w:tplc="95E6298E">
      <w:numFmt w:val="decimal"/>
      <w:lvlText w:val=""/>
      <w:lvlJc w:val="left"/>
    </w:lvl>
    <w:lvl w:ilvl="7" w:tplc="94922A8E">
      <w:numFmt w:val="decimal"/>
      <w:lvlText w:val=""/>
      <w:lvlJc w:val="left"/>
    </w:lvl>
    <w:lvl w:ilvl="8" w:tplc="E3D62320">
      <w:numFmt w:val="decimal"/>
      <w:lvlText w:val=""/>
      <w:lvlJc w:val="left"/>
    </w:lvl>
  </w:abstractNum>
  <w:abstractNum w:abstractNumId="1" w15:restartNumberingAfterBreak="0">
    <w:nsid w:val="26E8446A"/>
    <w:multiLevelType w:val="hybridMultilevel"/>
    <w:tmpl w:val="C8DE6924"/>
    <w:lvl w:ilvl="0" w:tplc="FCE2025C">
      <w:start w:val="1"/>
      <w:numFmt w:val="bullet"/>
      <w:lvlText w:val="●"/>
      <w:lvlJc w:val="left"/>
      <w:pPr>
        <w:ind w:left="720" w:hanging="360"/>
      </w:pPr>
    </w:lvl>
    <w:lvl w:ilvl="1" w:tplc="D03C4616">
      <w:start w:val="1"/>
      <w:numFmt w:val="bullet"/>
      <w:lvlText w:val="○"/>
      <w:lvlJc w:val="left"/>
      <w:pPr>
        <w:ind w:left="1440" w:hanging="360"/>
      </w:pPr>
    </w:lvl>
    <w:lvl w:ilvl="2" w:tplc="2702D8E2">
      <w:start w:val="1"/>
      <w:numFmt w:val="bullet"/>
      <w:lvlText w:val="■"/>
      <w:lvlJc w:val="left"/>
      <w:pPr>
        <w:ind w:left="2160" w:hanging="360"/>
      </w:pPr>
    </w:lvl>
    <w:lvl w:ilvl="3" w:tplc="1250011E">
      <w:start w:val="1"/>
      <w:numFmt w:val="bullet"/>
      <w:lvlText w:val="●"/>
      <w:lvlJc w:val="left"/>
      <w:pPr>
        <w:ind w:left="2880" w:hanging="360"/>
      </w:pPr>
    </w:lvl>
    <w:lvl w:ilvl="4" w:tplc="3A2AE03A">
      <w:start w:val="1"/>
      <w:numFmt w:val="bullet"/>
      <w:lvlText w:val="○"/>
      <w:lvlJc w:val="left"/>
      <w:pPr>
        <w:ind w:left="3600" w:hanging="360"/>
      </w:pPr>
    </w:lvl>
    <w:lvl w:ilvl="5" w:tplc="A0AC8258">
      <w:start w:val="1"/>
      <w:numFmt w:val="bullet"/>
      <w:lvlText w:val="■"/>
      <w:lvlJc w:val="left"/>
      <w:pPr>
        <w:ind w:left="4320" w:hanging="360"/>
      </w:pPr>
    </w:lvl>
    <w:lvl w:ilvl="6" w:tplc="ED78D372">
      <w:start w:val="1"/>
      <w:numFmt w:val="bullet"/>
      <w:lvlText w:val="●"/>
      <w:lvlJc w:val="left"/>
      <w:pPr>
        <w:ind w:left="5040" w:hanging="360"/>
      </w:pPr>
    </w:lvl>
    <w:lvl w:ilvl="7" w:tplc="76EC9CFE">
      <w:start w:val="1"/>
      <w:numFmt w:val="bullet"/>
      <w:lvlText w:val="●"/>
      <w:lvlJc w:val="left"/>
      <w:pPr>
        <w:ind w:left="5760" w:hanging="360"/>
      </w:pPr>
    </w:lvl>
    <w:lvl w:ilvl="8" w:tplc="29DEA04A">
      <w:start w:val="1"/>
      <w:numFmt w:val="bullet"/>
      <w:lvlText w:val="●"/>
      <w:lvlJc w:val="left"/>
      <w:pPr>
        <w:ind w:left="6480" w:hanging="360"/>
      </w:pPr>
    </w:lvl>
  </w:abstractNum>
  <w:abstractNum w:abstractNumId="2" w15:restartNumberingAfterBreak="0">
    <w:nsid w:val="771A76FE"/>
    <w:multiLevelType w:val="hybridMultilevel"/>
    <w:tmpl w:val="95D4748C"/>
    <w:lvl w:ilvl="0" w:tplc="C3285F7A">
      <w:start w:val="1"/>
      <w:numFmt w:val="bullet"/>
      <w:lvlText w:val="•"/>
      <w:lvlJc w:val="left"/>
      <w:pPr>
        <w:ind w:left="720" w:hanging="360"/>
      </w:pPr>
    </w:lvl>
    <w:lvl w:ilvl="1" w:tplc="36301C1A">
      <w:numFmt w:val="decimal"/>
      <w:lvlText w:val=""/>
      <w:lvlJc w:val="left"/>
    </w:lvl>
    <w:lvl w:ilvl="2" w:tplc="762E3D08">
      <w:numFmt w:val="decimal"/>
      <w:lvlText w:val=""/>
      <w:lvlJc w:val="left"/>
    </w:lvl>
    <w:lvl w:ilvl="3" w:tplc="F0E8B74C">
      <w:numFmt w:val="decimal"/>
      <w:lvlText w:val=""/>
      <w:lvlJc w:val="left"/>
    </w:lvl>
    <w:lvl w:ilvl="4" w:tplc="6D249B76">
      <w:numFmt w:val="decimal"/>
      <w:lvlText w:val=""/>
      <w:lvlJc w:val="left"/>
    </w:lvl>
    <w:lvl w:ilvl="5" w:tplc="6D62E184">
      <w:numFmt w:val="decimal"/>
      <w:lvlText w:val=""/>
      <w:lvlJc w:val="left"/>
    </w:lvl>
    <w:lvl w:ilvl="6" w:tplc="452C04D6">
      <w:numFmt w:val="decimal"/>
      <w:lvlText w:val=""/>
      <w:lvlJc w:val="left"/>
    </w:lvl>
    <w:lvl w:ilvl="7" w:tplc="D9F87C36">
      <w:numFmt w:val="decimal"/>
      <w:lvlText w:val=""/>
      <w:lvlJc w:val="left"/>
    </w:lvl>
    <w:lvl w:ilvl="8" w:tplc="B5F4DA9E">
      <w:numFmt w:val="decimal"/>
      <w:lvlText w:val=""/>
      <w:lvlJc w:val="left"/>
    </w:lvl>
  </w:abstractNum>
  <w:num w:numId="1" w16cid:durableId="1026446370">
    <w:abstractNumId w:val="1"/>
    <w:lvlOverride w:ilvl="0">
      <w:startOverride w:val="1"/>
    </w:lvlOverride>
  </w:num>
  <w:num w:numId="2" w16cid:durableId="8160597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F1C33"/>
    <w:rsid w:val="000149B4"/>
    <w:rsid w:val="00021D48"/>
    <w:rsid w:val="000A06E9"/>
    <w:rsid w:val="000C5D62"/>
    <w:rsid w:val="000E286D"/>
    <w:rsid w:val="000E2ACD"/>
    <w:rsid w:val="001530E7"/>
    <w:rsid w:val="002862E9"/>
    <w:rsid w:val="002944DD"/>
    <w:rsid w:val="003877FB"/>
    <w:rsid w:val="0041513B"/>
    <w:rsid w:val="00474C53"/>
    <w:rsid w:val="004A299E"/>
    <w:rsid w:val="004E766B"/>
    <w:rsid w:val="005E1C36"/>
    <w:rsid w:val="0067598E"/>
    <w:rsid w:val="006B55EA"/>
    <w:rsid w:val="0072753C"/>
    <w:rsid w:val="00782ED0"/>
    <w:rsid w:val="00806B40"/>
    <w:rsid w:val="008302DD"/>
    <w:rsid w:val="009264DF"/>
    <w:rsid w:val="009336A2"/>
    <w:rsid w:val="009409D0"/>
    <w:rsid w:val="009A25BF"/>
    <w:rsid w:val="00AC3B0F"/>
    <w:rsid w:val="00AC4077"/>
    <w:rsid w:val="00B05FC9"/>
    <w:rsid w:val="00B33546"/>
    <w:rsid w:val="00B658E6"/>
    <w:rsid w:val="00BB4E47"/>
    <w:rsid w:val="00BC1321"/>
    <w:rsid w:val="00C769B7"/>
    <w:rsid w:val="00CA41A3"/>
    <w:rsid w:val="00CB23AD"/>
    <w:rsid w:val="00D315A1"/>
    <w:rsid w:val="00D5597E"/>
    <w:rsid w:val="00D83D2D"/>
    <w:rsid w:val="00E30B64"/>
    <w:rsid w:val="00EA5C3F"/>
    <w:rsid w:val="00EF1C33"/>
    <w:rsid w:val="00F02075"/>
    <w:rsid w:val="00F132FA"/>
    <w:rsid w:val="00F94AA4"/>
    <w:rsid w:val="00FC165B"/>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938C38"/>
  <w15:docId w15:val="{CD2C087C-142C-4D4A-9DDA-81722E662A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000000"/>
        <w:sz w:val="24"/>
        <w:szCs w:val="24"/>
        <w:lang w:val="es-CO" w:eastAsia="es-CO" w:bidi="ar-SA"/>
      </w:rPr>
    </w:rPrDefault>
    <w:pPrDefault>
      <w:pPr>
        <w:spacing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jc w:val="center"/>
      <w:outlineLvl w:val="0"/>
    </w:pPr>
    <w:rPr>
      <w:b/>
      <w:bCs/>
    </w:rPr>
  </w:style>
  <w:style w:type="paragraph" w:styleId="Ttulo2">
    <w:name w:val="heading 2"/>
    <w:uiPriority w:val="9"/>
    <w:unhideWhenUsed/>
    <w:qFormat/>
    <w:pPr>
      <w:outlineLvl w:val="1"/>
    </w:pPr>
    <w:rPr>
      <w:b/>
      <w:bCs/>
    </w:rPr>
  </w:style>
  <w:style w:type="paragraph" w:styleId="Ttulo3">
    <w:name w:val="heading 3"/>
    <w:uiPriority w:val="9"/>
    <w:unhideWhenUsed/>
    <w:qFormat/>
    <w:pPr>
      <w:outlineLvl w:val="2"/>
    </w:pPr>
    <w:rPr>
      <w:b/>
      <w:bCs/>
      <w:i/>
      <w:iCs/>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pPr>
      <w:spacing w:line="240" w:lineRule="auto"/>
    </w:pPr>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pPr>
      <w:spacing w:line="240" w:lineRule="auto"/>
    </w:pPr>
    <w:rPr>
      <w:sz w:val="20"/>
      <w:szCs w:val="20"/>
    </w:rPr>
  </w:style>
  <w:style w:type="character" w:customStyle="1" w:styleId="TextonotaalfinalCar">
    <w:name w:val="Texto nota al final Car"/>
    <w:link w:val="Textonotaalfinal"/>
    <w:uiPriority w:val="99"/>
    <w:semiHidden/>
    <w:unhideWhenUsed/>
    <w:rPr>
      <w:sz w:val="20"/>
      <w:szCs w:val="20"/>
    </w:rPr>
  </w:style>
  <w:style w:type="character" w:styleId="Mencinsinresolver">
    <w:name w:val="Unresolved Mention"/>
    <w:basedOn w:val="Fuentedeprrafopredeter"/>
    <w:uiPriority w:val="99"/>
    <w:semiHidden/>
    <w:unhideWhenUsed/>
    <w:rsid w:val="002944D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894975">
      <w:bodyDiv w:val="1"/>
      <w:marLeft w:val="0"/>
      <w:marRight w:val="0"/>
      <w:marTop w:val="0"/>
      <w:marBottom w:val="0"/>
      <w:divBdr>
        <w:top w:val="none" w:sz="0" w:space="0" w:color="auto"/>
        <w:left w:val="none" w:sz="0" w:space="0" w:color="auto"/>
        <w:bottom w:val="none" w:sz="0" w:space="0" w:color="auto"/>
        <w:right w:val="none" w:sz="0" w:space="0" w:color="auto"/>
      </w:divBdr>
    </w:div>
    <w:div w:id="65536120">
      <w:bodyDiv w:val="1"/>
      <w:marLeft w:val="0"/>
      <w:marRight w:val="0"/>
      <w:marTop w:val="0"/>
      <w:marBottom w:val="0"/>
      <w:divBdr>
        <w:top w:val="none" w:sz="0" w:space="0" w:color="auto"/>
        <w:left w:val="none" w:sz="0" w:space="0" w:color="auto"/>
        <w:bottom w:val="none" w:sz="0" w:space="0" w:color="auto"/>
        <w:right w:val="none" w:sz="0" w:space="0" w:color="auto"/>
      </w:divBdr>
    </w:div>
    <w:div w:id="108404644">
      <w:bodyDiv w:val="1"/>
      <w:marLeft w:val="0"/>
      <w:marRight w:val="0"/>
      <w:marTop w:val="0"/>
      <w:marBottom w:val="0"/>
      <w:divBdr>
        <w:top w:val="none" w:sz="0" w:space="0" w:color="auto"/>
        <w:left w:val="none" w:sz="0" w:space="0" w:color="auto"/>
        <w:bottom w:val="none" w:sz="0" w:space="0" w:color="auto"/>
        <w:right w:val="none" w:sz="0" w:space="0" w:color="auto"/>
      </w:divBdr>
    </w:div>
    <w:div w:id="332073122">
      <w:bodyDiv w:val="1"/>
      <w:marLeft w:val="0"/>
      <w:marRight w:val="0"/>
      <w:marTop w:val="0"/>
      <w:marBottom w:val="0"/>
      <w:divBdr>
        <w:top w:val="none" w:sz="0" w:space="0" w:color="auto"/>
        <w:left w:val="none" w:sz="0" w:space="0" w:color="auto"/>
        <w:bottom w:val="none" w:sz="0" w:space="0" w:color="auto"/>
        <w:right w:val="none" w:sz="0" w:space="0" w:color="auto"/>
      </w:divBdr>
    </w:div>
    <w:div w:id="466899476">
      <w:bodyDiv w:val="1"/>
      <w:marLeft w:val="0"/>
      <w:marRight w:val="0"/>
      <w:marTop w:val="0"/>
      <w:marBottom w:val="0"/>
      <w:divBdr>
        <w:top w:val="none" w:sz="0" w:space="0" w:color="auto"/>
        <w:left w:val="none" w:sz="0" w:space="0" w:color="auto"/>
        <w:bottom w:val="none" w:sz="0" w:space="0" w:color="auto"/>
        <w:right w:val="none" w:sz="0" w:space="0" w:color="auto"/>
      </w:divBdr>
    </w:div>
    <w:div w:id="480316749">
      <w:bodyDiv w:val="1"/>
      <w:marLeft w:val="0"/>
      <w:marRight w:val="0"/>
      <w:marTop w:val="0"/>
      <w:marBottom w:val="0"/>
      <w:divBdr>
        <w:top w:val="none" w:sz="0" w:space="0" w:color="auto"/>
        <w:left w:val="none" w:sz="0" w:space="0" w:color="auto"/>
        <w:bottom w:val="none" w:sz="0" w:space="0" w:color="auto"/>
        <w:right w:val="none" w:sz="0" w:space="0" w:color="auto"/>
      </w:divBdr>
    </w:div>
    <w:div w:id="610012087">
      <w:bodyDiv w:val="1"/>
      <w:marLeft w:val="0"/>
      <w:marRight w:val="0"/>
      <w:marTop w:val="0"/>
      <w:marBottom w:val="0"/>
      <w:divBdr>
        <w:top w:val="none" w:sz="0" w:space="0" w:color="auto"/>
        <w:left w:val="none" w:sz="0" w:space="0" w:color="auto"/>
        <w:bottom w:val="none" w:sz="0" w:space="0" w:color="auto"/>
        <w:right w:val="none" w:sz="0" w:space="0" w:color="auto"/>
      </w:divBdr>
    </w:div>
    <w:div w:id="680738584">
      <w:bodyDiv w:val="1"/>
      <w:marLeft w:val="0"/>
      <w:marRight w:val="0"/>
      <w:marTop w:val="0"/>
      <w:marBottom w:val="0"/>
      <w:divBdr>
        <w:top w:val="none" w:sz="0" w:space="0" w:color="auto"/>
        <w:left w:val="none" w:sz="0" w:space="0" w:color="auto"/>
        <w:bottom w:val="none" w:sz="0" w:space="0" w:color="auto"/>
        <w:right w:val="none" w:sz="0" w:space="0" w:color="auto"/>
      </w:divBdr>
    </w:div>
    <w:div w:id="993753803">
      <w:bodyDiv w:val="1"/>
      <w:marLeft w:val="0"/>
      <w:marRight w:val="0"/>
      <w:marTop w:val="0"/>
      <w:marBottom w:val="0"/>
      <w:divBdr>
        <w:top w:val="none" w:sz="0" w:space="0" w:color="auto"/>
        <w:left w:val="none" w:sz="0" w:space="0" w:color="auto"/>
        <w:bottom w:val="none" w:sz="0" w:space="0" w:color="auto"/>
        <w:right w:val="none" w:sz="0" w:space="0" w:color="auto"/>
      </w:divBdr>
    </w:div>
    <w:div w:id="1007486441">
      <w:bodyDiv w:val="1"/>
      <w:marLeft w:val="0"/>
      <w:marRight w:val="0"/>
      <w:marTop w:val="0"/>
      <w:marBottom w:val="0"/>
      <w:divBdr>
        <w:top w:val="none" w:sz="0" w:space="0" w:color="auto"/>
        <w:left w:val="none" w:sz="0" w:space="0" w:color="auto"/>
        <w:bottom w:val="none" w:sz="0" w:space="0" w:color="auto"/>
        <w:right w:val="none" w:sz="0" w:space="0" w:color="auto"/>
      </w:divBdr>
    </w:div>
    <w:div w:id="1073507269">
      <w:bodyDiv w:val="1"/>
      <w:marLeft w:val="0"/>
      <w:marRight w:val="0"/>
      <w:marTop w:val="0"/>
      <w:marBottom w:val="0"/>
      <w:divBdr>
        <w:top w:val="none" w:sz="0" w:space="0" w:color="auto"/>
        <w:left w:val="none" w:sz="0" w:space="0" w:color="auto"/>
        <w:bottom w:val="none" w:sz="0" w:space="0" w:color="auto"/>
        <w:right w:val="none" w:sz="0" w:space="0" w:color="auto"/>
      </w:divBdr>
    </w:div>
    <w:div w:id="1268269241">
      <w:bodyDiv w:val="1"/>
      <w:marLeft w:val="0"/>
      <w:marRight w:val="0"/>
      <w:marTop w:val="0"/>
      <w:marBottom w:val="0"/>
      <w:divBdr>
        <w:top w:val="none" w:sz="0" w:space="0" w:color="auto"/>
        <w:left w:val="none" w:sz="0" w:space="0" w:color="auto"/>
        <w:bottom w:val="none" w:sz="0" w:space="0" w:color="auto"/>
        <w:right w:val="none" w:sz="0" w:space="0" w:color="auto"/>
      </w:divBdr>
    </w:div>
    <w:div w:id="1291742240">
      <w:bodyDiv w:val="1"/>
      <w:marLeft w:val="0"/>
      <w:marRight w:val="0"/>
      <w:marTop w:val="0"/>
      <w:marBottom w:val="0"/>
      <w:divBdr>
        <w:top w:val="none" w:sz="0" w:space="0" w:color="auto"/>
        <w:left w:val="none" w:sz="0" w:space="0" w:color="auto"/>
        <w:bottom w:val="none" w:sz="0" w:space="0" w:color="auto"/>
        <w:right w:val="none" w:sz="0" w:space="0" w:color="auto"/>
      </w:divBdr>
    </w:div>
    <w:div w:id="1335299213">
      <w:bodyDiv w:val="1"/>
      <w:marLeft w:val="0"/>
      <w:marRight w:val="0"/>
      <w:marTop w:val="0"/>
      <w:marBottom w:val="0"/>
      <w:divBdr>
        <w:top w:val="none" w:sz="0" w:space="0" w:color="auto"/>
        <w:left w:val="none" w:sz="0" w:space="0" w:color="auto"/>
        <w:bottom w:val="none" w:sz="0" w:space="0" w:color="auto"/>
        <w:right w:val="none" w:sz="0" w:space="0" w:color="auto"/>
      </w:divBdr>
    </w:div>
    <w:div w:id="1347826777">
      <w:bodyDiv w:val="1"/>
      <w:marLeft w:val="0"/>
      <w:marRight w:val="0"/>
      <w:marTop w:val="0"/>
      <w:marBottom w:val="0"/>
      <w:divBdr>
        <w:top w:val="none" w:sz="0" w:space="0" w:color="auto"/>
        <w:left w:val="none" w:sz="0" w:space="0" w:color="auto"/>
        <w:bottom w:val="none" w:sz="0" w:space="0" w:color="auto"/>
        <w:right w:val="none" w:sz="0" w:space="0" w:color="auto"/>
      </w:divBdr>
    </w:div>
    <w:div w:id="1368216646">
      <w:bodyDiv w:val="1"/>
      <w:marLeft w:val="0"/>
      <w:marRight w:val="0"/>
      <w:marTop w:val="0"/>
      <w:marBottom w:val="0"/>
      <w:divBdr>
        <w:top w:val="none" w:sz="0" w:space="0" w:color="auto"/>
        <w:left w:val="none" w:sz="0" w:space="0" w:color="auto"/>
        <w:bottom w:val="none" w:sz="0" w:space="0" w:color="auto"/>
        <w:right w:val="none" w:sz="0" w:space="0" w:color="auto"/>
      </w:divBdr>
    </w:div>
    <w:div w:id="1441025348">
      <w:bodyDiv w:val="1"/>
      <w:marLeft w:val="0"/>
      <w:marRight w:val="0"/>
      <w:marTop w:val="0"/>
      <w:marBottom w:val="0"/>
      <w:divBdr>
        <w:top w:val="none" w:sz="0" w:space="0" w:color="auto"/>
        <w:left w:val="none" w:sz="0" w:space="0" w:color="auto"/>
        <w:bottom w:val="none" w:sz="0" w:space="0" w:color="auto"/>
        <w:right w:val="none" w:sz="0" w:space="0" w:color="auto"/>
      </w:divBdr>
    </w:div>
    <w:div w:id="1650208672">
      <w:bodyDiv w:val="1"/>
      <w:marLeft w:val="0"/>
      <w:marRight w:val="0"/>
      <w:marTop w:val="0"/>
      <w:marBottom w:val="0"/>
      <w:divBdr>
        <w:top w:val="none" w:sz="0" w:space="0" w:color="auto"/>
        <w:left w:val="none" w:sz="0" w:space="0" w:color="auto"/>
        <w:bottom w:val="none" w:sz="0" w:space="0" w:color="auto"/>
        <w:right w:val="none" w:sz="0" w:space="0" w:color="auto"/>
      </w:divBdr>
    </w:div>
    <w:div w:id="1665819785">
      <w:bodyDiv w:val="1"/>
      <w:marLeft w:val="0"/>
      <w:marRight w:val="0"/>
      <w:marTop w:val="0"/>
      <w:marBottom w:val="0"/>
      <w:divBdr>
        <w:top w:val="none" w:sz="0" w:space="0" w:color="auto"/>
        <w:left w:val="none" w:sz="0" w:space="0" w:color="auto"/>
        <w:bottom w:val="none" w:sz="0" w:space="0" w:color="auto"/>
        <w:right w:val="none" w:sz="0" w:space="0" w:color="auto"/>
      </w:divBdr>
    </w:div>
    <w:div w:id="1731607885">
      <w:bodyDiv w:val="1"/>
      <w:marLeft w:val="0"/>
      <w:marRight w:val="0"/>
      <w:marTop w:val="0"/>
      <w:marBottom w:val="0"/>
      <w:divBdr>
        <w:top w:val="none" w:sz="0" w:space="0" w:color="auto"/>
        <w:left w:val="none" w:sz="0" w:space="0" w:color="auto"/>
        <w:bottom w:val="none" w:sz="0" w:space="0" w:color="auto"/>
        <w:right w:val="none" w:sz="0" w:space="0" w:color="auto"/>
      </w:divBdr>
    </w:div>
    <w:div w:id="1861506665">
      <w:bodyDiv w:val="1"/>
      <w:marLeft w:val="0"/>
      <w:marRight w:val="0"/>
      <w:marTop w:val="0"/>
      <w:marBottom w:val="0"/>
      <w:divBdr>
        <w:top w:val="none" w:sz="0" w:space="0" w:color="auto"/>
        <w:left w:val="none" w:sz="0" w:space="0" w:color="auto"/>
        <w:bottom w:val="none" w:sz="0" w:space="0" w:color="auto"/>
        <w:right w:val="none" w:sz="0" w:space="0" w:color="auto"/>
      </w:divBdr>
    </w:div>
    <w:div w:id="1875999298">
      <w:bodyDiv w:val="1"/>
      <w:marLeft w:val="0"/>
      <w:marRight w:val="0"/>
      <w:marTop w:val="0"/>
      <w:marBottom w:val="0"/>
      <w:divBdr>
        <w:top w:val="none" w:sz="0" w:space="0" w:color="auto"/>
        <w:left w:val="none" w:sz="0" w:space="0" w:color="auto"/>
        <w:bottom w:val="none" w:sz="0" w:space="0" w:color="auto"/>
        <w:right w:val="none" w:sz="0" w:space="0" w:color="auto"/>
      </w:divBdr>
    </w:div>
    <w:div w:id="1936211444">
      <w:bodyDiv w:val="1"/>
      <w:marLeft w:val="0"/>
      <w:marRight w:val="0"/>
      <w:marTop w:val="0"/>
      <w:marBottom w:val="0"/>
      <w:divBdr>
        <w:top w:val="none" w:sz="0" w:space="0" w:color="auto"/>
        <w:left w:val="none" w:sz="0" w:space="0" w:color="auto"/>
        <w:bottom w:val="none" w:sz="0" w:space="0" w:color="auto"/>
        <w:right w:val="none" w:sz="0" w:space="0" w:color="auto"/>
      </w:divBdr>
    </w:div>
    <w:div w:id="204244044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33</Pages>
  <Words>8428</Words>
  <Characters>46357</Characters>
  <Application>Microsoft Office Word</Application>
  <DocSecurity>0</DocSecurity>
  <Lines>386</Lines>
  <Paragraphs>109</Paragraphs>
  <ScaleCrop>false</ScaleCrop>
  <HeadingPairs>
    <vt:vector size="2" baseType="variant">
      <vt:variant>
        <vt:lpstr>Título</vt:lpstr>
      </vt:variant>
      <vt:variant>
        <vt:i4>1</vt:i4>
      </vt:variant>
    </vt:vector>
  </HeadingPairs>
  <TitlesOfParts>
    <vt:vector size="1" baseType="lpstr">
      <vt:lpstr>Artículo de revisión - Sostenibilidad, Economía Circular y ESG</vt:lpstr>
    </vt:vector>
  </TitlesOfParts>
  <Company/>
  <LinksUpToDate>false</LinksUpToDate>
  <CharactersWithSpaces>54676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Artículo de revisión - Sostenibilidad, Economía Circular y ESG</dc:title>
  <dc:creator>pierre</dc:creator>
  <cp:lastModifiedBy>Luisa Fernanda Rodriguez Rengifo</cp:lastModifiedBy>
  <cp:revision>2</cp:revision>
  <dcterms:created xsi:type="dcterms:W3CDTF">2026-10-20T21:20:00Z</dcterms:created>
  <dcterms:modified xsi:type="dcterms:W3CDTF">2026-10-20T21:20:00Z</dcterms:modified>
</cp:coreProperties>
</file>