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203D8" w14:textId="62CACB86" w:rsidR="004804C1" w:rsidRDefault="006F7BD0">
      <w:pPr>
        <w:rPr>
          <w:lang w:val="en-US"/>
        </w:rPr>
      </w:pPr>
      <w:r w:rsidRPr="006F7BD0">
        <w:rPr>
          <w:lang w:val="en-US"/>
        </w:rPr>
        <w:t xml:space="preserve">Functional and </w:t>
      </w:r>
      <w:proofErr w:type="spellStart"/>
      <w:proofErr w:type="gramStart"/>
      <w:r w:rsidRPr="006F7BD0">
        <w:rPr>
          <w:lang w:val="en-US"/>
        </w:rPr>
        <w:t>non functional</w:t>
      </w:r>
      <w:proofErr w:type="spellEnd"/>
      <w:proofErr w:type="gramEnd"/>
      <w:r w:rsidRPr="006F7BD0">
        <w:rPr>
          <w:lang w:val="en-US"/>
        </w:rPr>
        <w:t xml:space="preserve"> requirements for </w:t>
      </w:r>
      <w:r>
        <w:rPr>
          <w:lang w:val="en-US"/>
        </w:rPr>
        <w:t xml:space="preserve">System/App that assess BIAS in AI systems. </w:t>
      </w:r>
    </w:p>
    <w:p w14:paraId="1CD91290" w14:textId="77777777" w:rsidR="006F7BD0" w:rsidRDefault="006F7BD0">
      <w:pPr>
        <w:rPr>
          <w:lang w:val="en-US"/>
        </w:rPr>
      </w:pPr>
    </w:p>
    <w:p w14:paraId="7229DC8F" w14:textId="77777777" w:rsidR="00FE46E7" w:rsidRPr="00FE46E7" w:rsidRDefault="00FE46E7" w:rsidP="00FE46E7">
      <w:pPr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</w:pPr>
      <w:r w:rsidRPr="00FE46E7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>Here are the updated 20 functional and non-functional requirements, integrating your new "bias laboratory" features (Synthetic Bias Injection &amp; Propagation Tester) with the foundational compliance and assessment capabilities.</w:t>
      </w:r>
    </w:p>
    <w:p w14:paraId="4AFF5DF9" w14:textId="77777777" w:rsidR="00FE46E7" w:rsidRPr="00FE46E7" w:rsidRDefault="00FE46E7" w:rsidP="00FE46E7">
      <w:pPr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</w:pPr>
      <w:r w:rsidRPr="00FE46E7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>Functional Requirements</w:t>
      </w:r>
    </w:p>
    <w:p w14:paraId="41C4F53F" w14:textId="77777777" w:rsidR="00FE46E7" w:rsidRPr="00FE46E7" w:rsidRDefault="00FE46E7" w:rsidP="00FE46E7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</w:pPr>
      <w:r w:rsidRPr="00FE46E7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n-GB"/>
          <w14:ligatures w14:val="none"/>
        </w:rPr>
        <w:t>Synthetic Bias Generation:</w:t>
      </w:r>
      <w:r w:rsidRPr="00FE46E7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The system must feature a synthetic data generator utilizing LLM templates to inject controllable levels of bias (from mild to severe) across 5 protected attributes: gender, race/ethnicity, age, religion, and disability [User Prompt].</w:t>
      </w:r>
    </w:p>
    <w:p w14:paraId="3C0138EB" w14:textId="77777777" w:rsidR="00FE46E7" w:rsidRPr="00FE46E7" w:rsidRDefault="00FE46E7" w:rsidP="00FE46E7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</w:pPr>
      <w:r w:rsidRPr="00FE46E7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n-GB"/>
          <w14:ligatures w14:val="none"/>
        </w:rPr>
        <w:t>Standardized Benchmark Runner:</w:t>
      </w:r>
      <w:r w:rsidRPr="00FE46E7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The platform must be able to automatically execute recognized algorithmic fairness benchmarks, including BBQ, CrowS-Pairs, WinoBias, as well as user-defined custom templates [User Prompt].</w:t>
      </w:r>
    </w:p>
    <w:p w14:paraId="15F170B5" w14:textId="77777777" w:rsidR="00FE46E7" w:rsidRPr="00FE46E7" w:rsidRDefault="00FE46E7" w:rsidP="00FE46E7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</w:pPr>
      <w:r w:rsidRPr="00FE46E7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n-GB"/>
          <w14:ligatures w14:val="none"/>
        </w:rPr>
        <w:t>Bias Propagation Tracking:</w:t>
      </w:r>
      <w:r w:rsidRPr="00FE46E7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The system must include a propagation tracker that visually maps how bias flows, amplifies, or shrinks throughout the entire AI pipeline—from training data, through embeddings, to the final output distribution [User Prompt, 258].</w:t>
      </w:r>
    </w:p>
    <w:p w14:paraId="6A7D815B" w14:textId="77777777" w:rsidR="00FE46E7" w:rsidRPr="00FE46E7" w:rsidRDefault="00FE46E7" w:rsidP="00FE46E7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</w:pPr>
      <w:r w:rsidRPr="00FE46E7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n-GB"/>
          <w14:ligatures w14:val="none"/>
        </w:rPr>
        <w:t>Before/After Mitigation Simulation:</w:t>
      </w:r>
      <w:r w:rsidRPr="00FE46E7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The system must allow users to apply and compare various bias mitigation techniques side-by-side, specifically supporting adversarial debiasing, counterfactual data augmentation, RLHF-style preference tuning, and RAG-level filtering [User Prompt, 258-259].</w:t>
      </w:r>
    </w:p>
    <w:p w14:paraId="6BD86356" w14:textId="77777777" w:rsidR="00FE46E7" w:rsidRPr="00FE46E7" w:rsidRDefault="00FE46E7" w:rsidP="00FE46E7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</w:pPr>
      <w:r w:rsidRPr="00FE46E7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n-GB"/>
          <w14:ligatures w14:val="none"/>
        </w:rPr>
        <w:t>Automated Fairness Metric Calculation:</w:t>
      </w:r>
      <w:r w:rsidRPr="00FE46E7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The Python backend (utilizing Hugging Face, Fairlearn, and Aequitas) must automatically calculate statistical fairness metrics, including statistical parity difference, equalized odds, and the disparate impact ratio [User Prompt, 313, 317-318, 230-231].</w:t>
      </w:r>
    </w:p>
    <w:p w14:paraId="6767CDEE" w14:textId="77777777" w:rsidR="00FE46E7" w:rsidRPr="00FE46E7" w:rsidRDefault="00FE46E7" w:rsidP="00FE46E7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</w:pPr>
      <w:r w:rsidRPr="00FE46E7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n-GB"/>
          <w14:ligatures w14:val="none"/>
        </w:rPr>
        <w:t>Bias Amplification Factor:</w:t>
      </w:r>
      <w:r w:rsidRPr="00FE46E7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The system must calculate a "bias amplification factor" (output bias divided by input bias) alongside an overall mitigation effectiveness percentage for each applied technique [User Prompt].</w:t>
      </w:r>
    </w:p>
    <w:p w14:paraId="14540EB0" w14:textId="77777777" w:rsidR="00FE46E7" w:rsidRPr="00FE46E7" w:rsidRDefault="00FE46E7" w:rsidP="00FE46E7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</w:pPr>
      <w:r w:rsidRPr="00FE46E7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n-GB"/>
          <w14:ligatures w14:val="none"/>
        </w:rPr>
        <w:t>Automated Audit Reporting:</w:t>
      </w:r>
      <w:r w:rsidRPr="00FE46E7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The system must generate exportable audit reports (in PDF and JSON formats) that capture compliance gaps, mitigation results, and disparity metrics for internal review or regulatory submission [User Prompt, 318, 302].</w:t>
      </w:r>
    </w:p>
    <w:p w14:paraId="77C426A3" w14:textId="77777777" w:rsidR="00FE46E7" w:rsidRPr="00FE46E7" w:rsidRDefault="00FE46E7" w:rsidP="00FE46E7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</w:pPr>
      <w:r w:rsidRPr="00FE46E7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n-GB"/>
          <w14:ligatures w14:val="none"/>
        </w:rPr>
        <w:t>Explainability &amp; Feature Attribution:</w:t>
      </w:r>
      <w:r w:rsidRPr="00FE46E7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The system must integrate Explainable AI (XAI) tools (like LIME or SHAP) to show exactly which features or variables are driving biased outputs within black-box models.</w:t>
      </w:r>
    </w:p>
    <w:p w14:paraId="3B0B3DF7" w14:textId="77777777" w:rsidR="00FE46E7" w:rsidRPr="00FE46E7" w:rsidRDefault="00FE46E7" w:rsidP="00FE46E7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</w:pPr>
      <w:r w:rsidRPr="00FE46E7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n-GB"/>
          <w14:ligatures w14:val="none"/>
        </w:rPr>
        <w:t>Automated Risk Classification (EU AI Act):</w:t>
      </w:r>
      <w:r w:rsidRPr="00FE46E7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The system must classify the model's intended use-case into Prohibited, High-Risk, Limited-Risk, or Minimal-Risk categories based on EU AI Act constraints.</w:t>
      </w:r>
    </w:p>
    <w:p w14:paraId="39550539" w14:textId="77777777" w:rsidR="00FE46E7" w:rsidRPr="00FE46E7" w:rsidRDefault="00FE46E7" w:rsidP="00FE46E7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</w:pPr>
      <w:r w:rsidRPr="00FE46E7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n-GB"/>
          <w14:ligatures w14:val="none"/>
        </w:rPr>
        <w:t>Data Input Configuration:</w:t>
      </w:r>
      <w:r w:rsidRPr="00FE46E7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The system must allow users to configure the specific variables for their audit, including defining reference groups, score thresholds, and protected attribute columns for custom disparity tracking.</w:t>
      </w:r>
    </w:p>
    <w:p w14:paraId="0DB6230B" w14:textId="77777777" w:rsidR="00FE46E7" w:rsidRPr="00FE46E7" w:rsidRDefault="00FE46E7" w:rsidP="00FE46E7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</w:pPr>
      <w:r w:rsidRPr="00FE46E7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n-GB"/>
          <w14:ligatures w14:val="none"/>
        </w:rPr>
        <w:t>Adversarial Testing for Systemic Risk:</w:t>
      </w:r>
      <w:r w:rsidRPr="00FE46E7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The system must support advanced red-teaming and adversarial testing capabilities required by the General-Purpose AI (GPAI) Code of Practice to identify systemic risks and harmful manipulations.</w:t>
      </w:r>
    </w:p>
    <w:p w14:paraId="1F6B0D7A" w14:textId="77777777" w:rsidR="00FE46E7" w:rsidRPr="00FE46E7" w:rsidRDefault="00FE46E7" w:rsidP="00FE46E7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</w:pPr>
      <w:r w:rsidRPr="00FE46E7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n-GB"/>
          <w14:ligatures w14:val="none"/>
        </w:rPr>
        <w:t>Algorithmic Impact Assessment (AIA) Workflow:</w:t>
      </w:r>
      <w:r w:rsidRPr="00FE46E7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The system must guide users through a structured AIA process (aligned with NIST AI RMF guidelines) to document intended purposes, known limitations, and expected impacts on vulnerable communities before deployment.</w:t>
      </w:r>
    </w:p>
    <w:p w14:paraId="68F0C8CD" w14:textId="77777777" w:rsidR="00FE46E7" w:rsidRPr="00FE46E7" w:rsidRDefault="00FE46E7" w:rsidP="00FE46E7">
      <w:pPr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</w:pPr>
      <w:r w:rsidRPr="00FE46E7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>Non-Functional Requirements</w:t>
      </w:r>
    </w:p>
    <w:p w14:paraId="78544540" w14:textId="77777777" w:rsidR="00FE46E7" w:rsidRPr="00FE46E7" w:rsidRDefault="00FE46E7" w:rsidP="00FE46E7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</w:pPr>
      <w:r w:rsidRPr="00FE46E7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n-GB"/>
          <w14:ligatures w14:val="none"/>
        </w:rPr>
        <w:t>Rapid Iteration User Interface:</w:t>
      </w:r>
      <w:r w:rsidRPr="00FE46E7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The front-end must utilize tools like Streamlit or Gradio to enable extremely fast iteration, allowing model developers to quickly tweak bias strengths, test mitigations, and view immediate results [User Prompt].</w:t>
      </w:r>
    </w:p>
    <w:p w14:paraId="53F18DDA" w14:textId="77777777" w:rsidR="00FE46E7" w:rsidRPr="00FE46E7" w:rsidRDefault="00FE46E7" w:rsidP="00FE46E7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</w:pPr>
      <w:r w:rsidRPr="00FE46E7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n-GB"/>
          <w14:ligatures w14:val="none"/>
        </w:rPr>
        <w:lastRenderedPageBreak/>
        <w:t>Library Interoperability:</w:t>
      </w:r>
      <w:r w:rsidRPr="00FE46E7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The Python backend must be architected to seamlessly interface with open-source ML and fairness ecosystems, specifically integrating Hugging Face, Fairlearn, and Aequitas natively [User Prompt, 308, 317].</w:t>
      </w:r>
    </w:p>
    <w:p w14:paraId="74DBC9B8" w14:textId="77777777" w:rsidR="00FE46E7" w:rsidRPr="00FE46E7" w:rsidRDefault="00FE46E7" w:rsidP="00FE46E7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</w:pPr>
      <w:r w:rsidRPr="00FE46E7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n-GB"/>
          <w14:ligatures w14:val="none"/>
        </w:rPr>
        <w:t>SaaS Monetization Architecture:</w:t>
      </w:r>
      <w:r w:rsidRPr="00FE46E7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The system must be built with a secure, scalable multi-tenant architecture to support diverse billing models, including usage-based SaaS subscriptions and per-model audit pricing for enterprise MLOps teams and AI auditors [User Prompt].</w:t>
      </w:r>
    </w:p>
    <w:p w14:paraId="2ED69CC5" w14:textId="77777777" w:rsidR="00FE46E7" w:rsidRPr="00FE46E7" w:rsidRDefault="00FE46E7" w:rsidP="00FE46E7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</w:pPr>
      <w:r w:rsidRPr="00FE46E7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n-GB"/>
          <w14:ligatures w14:val="none"/>
        </w:rPr>
        <w:t>Data Privacy and Confidentiality:</w:t>
      </w:r>
      <w:r w:rsidRPr="00FE46E7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When handling proprietary models or evaluating synthetic bias against real user data, the system must employ data minimization and privacy-preserving techniques (like differential privacy) to remain compliant with GDPR and related privacy laws.</w:t>
      </w:r>
    </w:p>
    <w:p w14:paraId="7A48EDE1" w14:textId="77777777" w:rsidR="00FE46E7" w:rsidRPr="00FE46E7" w:rsidRDefault="00FE46E7" w:rsidP="00FE46E7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</w:pPr>
      <w:r w:rsidRPr="00FE46E7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n-GB"/>
          <w14:ligatures w14:val="none"/>
        </w:rPr>
        <w:t>Reproducibility and Statistical Rigor:</w:t>
      </w:r>
      <w:r w:rsidRPr="00FE46E7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The injection of synthetic bias and the calculation of the bias amplification factor must yield scientifically reproducible results, providing reliable evidence for external conformity assessments.</w:t>
      </w:r>
    </w:p>
    <w:p w14:paraId="5ADAD968" w14:textId="77777777" w:rsidR="00FE46E7" w:rsidRPr="00FE46E7" w:rsidRDefault="00FE46E7" w:rsidP="00FE46E7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</w:pPr>
      <w:r w:rsidRPr="00FE46E7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n-GB"/>
          <w14:ligatures w14:val="none"/>
        </w:rPr>
        <w:t>Interdisciplinary Readability:</w:t>
      </w:r>
      <w:r w:rsidRPr="00FE46E7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The outputs of the "bias laboratory"—particularly the propagation trackers and before/after mitigation dashboards—must be visually accessible to non-technical stakeholders, including legal counsel and compliance officers.</w:t>
      </w:r>
    </w:p>
    <w:p w14:paraId="18D3509D" w14:textId="77777777" w:rsidR="00FE46E7" w:rsidRPr="00FE46E7" w:rsidRDefault="00FE46E7" w:rsidP="00FE46E7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</w:pPr>
      <w:r w:rsidRPr="00FE46E7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n-GB"/>
          <w14:ligatures w14:val="none"/>
        </w:rPr>
        <w:t>Regulatory Evolvability:</w:t>
      </w:r>
      <w:r w:rsidRPr="00FE46E7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The underlying evaluation criteria must be easily updatable so that the system can adapt to evolving harmonized standards from CEN-CENELEC and continuous updates to the GPAI Code of Practice.</w:t>
      </w:r>
    </w:p>
    <w:p w14:paraId="7DC844BD" w14:textId="77777777" w:rsidR="00FE46E7" w:rsidRPr="00FE46E7" w:rsidRDefault="00FE46E7" w:rsidP="00FE46E7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</w:pPr>
      <w:r w:rsidRPr="00FE46E7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n-GB"/>
          <w14:ligatures w14:val="none"/>
        </w:rPr>
        <w:t>Security &amp; Robustness:</w:t>
      </w:r>
      <w:r w:rsidRPr="00FE46E7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The system's testing environment and proprietary algorithms must be protected against external cyber threats or adversarial manipulations, ensuring a secure environment for enterprise AI auditing.</w:t>
      </w:r>
    </w:p>
    <w:p w14:paraId="680F53F1" w14:textId="77777777" w:rsidR="006F7BD0" w:rsidRPr="006F7BD0" w:rsidRDefault="006F7BD0"/>
    <w:sectPr w:rsidR="006F7BD0" w:rsidRPr="006F7B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oogle Sans Tex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42F77"/>
    <w:multiLevelType w:val="multilevel"/>
    <w:tmpl w:val="24984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C331C3"/>
    <w:multiLevelType w:val="multilevel"/>
    <w:tmpl w:val="9BD26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DB421B"/>
    <w:multiLevelType w:val="multilevel"/>
    <w:tmpl w:val="88629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134A72"/>
    <w:multiLevelType w:val="multilevel"/>
    <w:tmpl w:val="1C94A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0460650">
    <w:abstractNumId w:val="3"/>
  </w:num>
  <w:num w:numId="2" w16cid:durableId="890269924">
    <w:abstractNumId w:val="0"/>
  </w:num>
  <w:num w:numId="3" w16cid:durableId="91554419">
    <w:abstractNumId w:val="2"/>
  </w:num>
  <w:num w:numId="4" w16cid:durableId="1709219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BD0"/>
    <w:rsid w:val="00023649"/>
    <w:rsid w:val="004804C1"/>
    <w:rsid w:val="006F7BD0"/>
    <w:rsid w:val="008825E8"/>
    <w:rsid w:val="00C62DA5"/>
    <w:rsid w:val="00F11914"/>
    <w:rsid w:val="00FE4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01397EC"/>
  <w15:chartTrackingRefBased/>
  <w15:docId w15:val="{252649FE-DFA2-774E-A9D2-DFC1EA428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B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B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B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BD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BD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BD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BD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B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B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B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B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B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B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B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B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B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BD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BD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BD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B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B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B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B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B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BD0"/>
    <w:rPr>
      <w:b/>
      <w:bCs/>
      <w:smallCaps/>
      <w:color w:val="0F4761" w:themeColor="accent1" w:themeShade="BF"/>
      <w:spacing w:val="5"/>
    </w:rPr>
  </w:style>
  <w:style w:type="character" w:customStyle="1" w:styleId="ng-star-inserted">
    <w:name w:val="ng-star-inserted"/>
    <w:basedOn w:val="DefaultParagraphFont"/>
    <w:rsid w:val="006F7BD0"/>
  </w:style>
  <w:style w:type="paragraph" w:customStyle="1" w:styleId="paragraph">
    <w:name w:val="paragraph"/>
    <w:basedOn w:val="Normal"/>
    <w:rsid w:val="006F7BD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682</Words>
  <Characters>4554</Characters>
  <Application>Microsoft Office Word</Application>
  <DocSecurity>0</DocSecurity>
  <Lines>73</Lines>
  <Paragraphs>29</Paragraphs>
  <ScaleCrop>false</ScaleCrop>
  <Company/>
  <LinksUpToDate>false</LinksUpToDate>
  <CharactersWithSpaces>5207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van Walsem</dc:creator>
  <cp:keywords/>
  <dc:description/>
  <cp:lastModifiedBy>Peter van Walsem</cp:lastModifiedBy>
  <cp:revision>2</cp:revision>
  <dcterms:created xsi:type="dcterms:W3CDTF">2026-05-29T10:42:00Z</dcterms:created>
  <dcterms:modified xsi:type="dcterms:W3CDTF">2026-05-29T10:51:00Z</dcterms:modified>
</cp:coreProperties>
</file>