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Mississipi, com base nas informaÃ§Ãµes operacionais consolidadas do dia 03/03/2026,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22 unidades.</w:t>
      </w:r>
    </w:p>
    <w:p>
      <w:pPr>
        <w:pStyle w:val="ListBullet"/>
        <w:spacing w:after="40"/>
      </w:pPr>
      <w:r>
        <w:t>Prolongamento de rede de água: 16 metros em PEAD.</w:t>
      </w:r>
    </w:p>
    <w:p>
      <w:pPr>
        <w:pStyle w:val="ListBullet"/>
        <w:spacing w:after="40"/>
      </w:pPr>
      <w:r>
        <w:t>Execução de interligação de rede: 1 unidade.</w:t>
      </w:r>
    </w:p>
    <w:p>
      <w:pPr>
        <w:pStyle w:val="ListBullet"/>
        <w:spacing w:after="40"/>
      </w:pPr>
      <w:r>
        <w:t>Prolongamento de rede: 29 metros Ø63.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ObservaÃ§Ãµes operacionais</w:t>
      </w:r>
    </w:p>
    <w:p>
      <w:pPr>
        <w:pStyle w:val="ListBullet"/>
      </w:pPr>
      <w:r>
        <w:t>⚠️ Obs: Produtividade impactada pela espera da mangueira do compressor.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