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Patrocínio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Patrocínio,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Patrocínio,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14 unidades.</w:t>
      </w:r>
    </w:p>
    <w:p>
      <w:pPr>
        <w:pStyle w:val="ListBullet"/>
        <w:spacing w:after="40"/>
      </w:pPr>
      <w:r>
        <w:t>Instalação de hidrômetros: 14 unidades.</w:t>
      </w:r>
    </w:p>
    <w:p>
      <w:pPr>
        <w:pStyle w:val="ListBullet"/>
        <w:spacing w:after="40"/>
      </w:pPr>
      <w:r>
        <w:t>Execução de ramais de água: 3 unidades.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Patrocínio,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