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52 metros em PEAD.</w:t>
      </w:r>
    </w:p>
    <w:p>
      <w:pPr>
        <w:pStyle w:val="ListBullet"/>
        <w:spacing w:after="40"/>
      </w:pPr>
      <w:r>
        <w:t>Execução de ramais de esgoto: 3 unidades.</w:t>
      </w:r>
    </w:p>
    <w:p>
      <w:pPr>
        <w:pStyle w:val="ListBullet"/>
        <w:spacing w:after="40"/>
      </w:pPr>
      <w:r>
        <w:t>Instalacao de Caixa de Inspecao: 1 serviÃ§o Instalação de Caixa de Inspeção (0,80 x 0,80).</w:t>
      </w:r>
    </w:p>
    <w:p>
      <w:pPr>
        <w:pStyle w:val="ListBullet"/>
        <w:spacing w:after="40"/>
      </w:pPr>
      <w:r>
        <w:t>Instalação de caixas UMA: 16 unidades.</w:t>
      </w:r>
    </w:p>
    <w:p>
      <w:pPr>
        <w:pStyle w:val="ListBullet"/>
        <w:spacing w:after="40"/>
      </w:pPr>
      <w:r>
        <w:t>Instalação de caixas UMA: 16 unidades.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