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12/03/2026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12/03/2026,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Retirada de Big Bag: 1 serviço.</w:t>
      </w:r>
    </w:p>
    <w:p>
      <w:pPr>
        <w:pStyle w:val="ListBullet"/>
        <w:spacing w:after="40"/>
      </w:pPr>
      <w:r>
        <w:t>Execução de ramais de água: 7 unidades.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2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Serviço executado para evitar infiltração em imóveis próximos. Atividades interrompidas posteriormente devido à tempestade ⛈️.</w:t>
      </w:r>
    </w:p>
    <w:p>
      <w:pPr>
        <w:pStyle w:val="ListBullet"/>
      </w:pPr>
      <w:r>
        <w:t>⚠️ Obs: Não foi possível dar continuidade ao prolongamento da rede devido às chuvas intensas.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