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#ABOVETHEFOLD</w:t>
        <w:br w:type="textWrapping"/>
        <w:t xml:space="preserve">L’above the fold è la porzione visibile della landing page senza scrollare. Il termine viene dai giornali cartacei: la parte sopra la piega del quotidiano era quella che decideva se compravi il giornale guardandolo in edicola, prima di aprirlo.</w:t>
      </w:r>
    </w:p>
    <w:p w:rsidR="00000000" w:rsidDel="00000000" w:rsidP="00000000" w:rsidRDefault="00000000" w:rsidRPr="00000000" w14:paraId="00000002">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03">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Sul web la dimensione dell’above the fold varia in base al dispositivo. Su un monitor desktop full HD sono circa 700-800 pixel verticali. Su un laptop sono 600-700. Su uno smartphone sono 500-600 pixel verticali (lo schermo è più alto, ma la barra del browser occupa spazio).</w:t>
      </w:r>
    </w:p>
    <w:p w:rsidR="00000000" w:rsidDel="00000000" w:rsidP="00000000" w:rsidRDefault="00000000" w:rsidRPr="00000000" w14:paraId="00000004">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05">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In quei pixel deve stare tutto quello che serve a far capire al visitatore dove è arrivato, cosa trova, e perché dovrebbe restare. Se manca anche uno solo di questi tre messaggi, l’utente chiude.</w:t>
        <w:br w:type="textWrapping"/>
        <w:br w:type="textWrapping"/>
        <w:t xml:space="preserve">L’utente medio decide in meno di 5 secondi se restare su una landing page o chiuderla. I dati di tracciamento che raccolgo da anni confermano questo: circa l’80% degli abbandoni avviene entro i primi 5 secondi, prima ancora che l’utente abbia scrollato.</w:t>
      </w:r>
    </w:p>
    <w:p w:rsidR="00000000" w:rsidDel="00000000" w:rsidP="00000000" w:rsidRDefault="00000000" w:rsidRPr="00000000" w14:paraId="00000006">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07">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La regola pratica: tutto quello che è essenziale per capire la landing deve essere comprensibile in 5 secondi, anche a un visitatore distratto, di pessimo umore, con poca pazienza. Se devi spiegare la promessa, hai sbagliato la promessa.</w:t>
        <w:br w:type="textWrapping"/>
        <w:br w:type="textWrapping"/>
        <w:t xml:space="preserve">Su mobile, l’above the fold è verticalmente compresso. Logo + headline + sottotitolo + immagine + call to action non ci stanno tutti sopra il fold. Qualcosa va sacrificato, e nella maggior parte dei casi è l’immagine.</w:t>
      </w:r>
    </w:p>
    <w:p w:rsidR="00000000" w:rsidDel="00000000" w:rsidP="00000000" w:rsidRDefault="00000000" w:rsidRPr="00000000" w14:paraId="00000008">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09">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Quando l’immagine viene eliminata su mobile, il font e i colori devono compensare l’assenza visiva: non puoi fare nero su bianco come fanno i marketer americani, devi vestire la pagina perché il testo da solo non basta a comunicare il valore.</w:t>
      </w:r>
    </w:p>
    <w:p w:rsidR="00000000" w:rsidDel="00000000" w:rsidP="00000000" w:rsidRDefault="00000000" w:rsidRPr="00000000" w14:paraId="0000000A">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0B">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Valuta in base al target. Se il pubblico capisce il servizio senza vedere immagini (es. un avvocato per il diritto bancario), l’immagine si può sacrificare. Se il servizio richiede un’evocazione visiva (es. un fotografo di matrimoni), no, devi trovare il modo di mantenerla anche se piccola.</w:t>
        <w:br w:type="textWrapping"/>
        <w:br w:type="textWrapping"/>
        <w:t xml:space="preserve">#HEADLINE</w:t>
      </w:r>
    </w:p>
    <w:p w:rsidR="00000000" w:rsidDel="00000000" w:rsidP="00000000" w:rsidRDefault="00000000" w:rsidRPr="00000000" w14:paraId="0000000C">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La headline deve rispondere alla domanda “perché dovrebbe interessare a me che leggo?” nei primi secondi di lettura.</w:t>
      </w:r>
    </w:p>
    <w:p w:rsidR="00000000" w:rsidDel="00000000" w:rsidP="00000000" w:rsidRDefault="00000000" w:rsidRPr="00000000" w14:paraId="0000000D">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0E">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Tre regole operative.</w:t>
      </w:r>
    </w:p>
    <w:p w:rsidR="00000000" w:rsidDel="00000000" w:rsidP="00000000" w:rsidRDefault="00000000" w:rsidRPr="00000000" w14:paraId="0000000F">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10">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Prima, parla del cliente, non dell’azienda. “Acquisisci pazienti per il tuo studio dentistico senza dipendere dal passaparola” lavora meglio di “Studio Dentistico Rossi, esperti in implantologia dal 1985”.</w:t>
      </w:r>
    </w:p>
    <w:p w:rsidR="00000000" w:rsidDel="00000000" w:rsidP="00000000" w:rsidRDefault="00000000" w:rsidRPr="00000000" w14:paraId="00000011">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12">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Seconda, includi il beneficio specifico. Non un generico “miglioriamo il tuo business”, ma un beneficio concreto: “+30% di contatti qualificati in 60 giorni” oppure “Risparmia 10 ore alla settimana di amministrazione”.</w:t>
      </w:r>
    </w:p>
    <w:p w:rsidR="00000000" w:rsidDel="00000000" w:rsidP="00000000" w:rsidRDefault="00000000" w:rsidRPr="00000000" w14:paraId="00000013">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14">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Terza, usa parole del target, non del settore. Se i tuoi clienti dicono “voglio più clienti”, non scrivere “incremento del fatturato attraverso strategie omnicanale”. Le parole del target sono nei feedback raccolti con il metodo delle quattro domande.</w:t>
        <w:br w:type="textWrapping"/>
        <w:br w:type="textWrapping"/>
        <w:t xml:space="preserve">Regola operativa che uso da anni: nella headline va il “cosa cambia per te” (beneficio), nel sottotitolo va il “come lo facciamo” (meccanismo).</w:t>
      </w:r>
    </w:p>
    <w:p w:rsidR="00000000" w:rsidDel="00000000" w:rsidP="00000000" w:rsidRDefault="00000000" w:rsidRPr="00000000" w14:paraId="00000015">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16">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Esempio. Headline: “Acquisisci pazienti per il tuo studio dentistico senza dipendere dal passaparola”. Sottotitolo: “Il metodo OVT applicato a oltre 80 studi dentistici italiani negli ultimi 5 anni”.</w:t>
      </w:r>
    </w:p>
    <w:p w:rsidR="00000000" w:rsidDel="00000000" w:rsidP="00000000" w:rsidRDefault="00000000" w:rsidRPr="00000000" w14:paraId="00000017">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18">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Il beneficio prende lo spazio principale, il meccanismo lo supporta. Inverti i due elementi e perdi efficacia: chi non è interessato al beneficio non legge il meccanismo.</w:t>
      </w:r>
    </w:p>
    <w:p w:rsidR="00000000" w:rsidDel="00000000" w:rsidP="00000000" w:rsidRDefault="00000000" w:rsidRPr="00000000" w14:paraId="00000019">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1A">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Le headline cambiano per livello di consapevolezza di Schwartz (vedi documento).</w:t>
      </w:r>
    </w:p>
    <w:p w:rsidR="00000000" w:rsidDel="00000000" w:rsidP="00000000" w:rsidRDefault="00000000" w:rsidRPr="00000000" w14:paraId="0000001B">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1C">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Per il livello 1 (super consapevole), apertura tipo offerta: “Solo questo mese, sconto del 30% sul servizio Y”.</w:t>
      </w:r>
    </w:p>
    <w:p w:rsidR="00000000" w:rsidDel="00000000" w:rsidP="00000000" w:rsidRDefault="00000000" w:rsidRPr="00000000" w14:paraId="0000001D">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1E">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Per il livello 2 (consapevole della soluzione), apertura tipo promessa: “Le landing page costruite con il metodo OVT convertono mediamente il 35% in più di quelle generiche”.</w:t>
      </w:r>
    </w:p>
    <w:p w:rsidR="00000000" w:rsidDel="00000000" w:rsidP="00000000" w:rsidRDefault="00000000" w:rsidRPr="00000000" w14:paraId="0000001F">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20">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Per il livello 3 (consapevole del problema), apertura tipo problema-soluzione: “Il tuo sito riceve visite ma non genera richieste? La risposta non è più traffico, è una pagina costruita per convertire”.</w:t>
      </w:r>
    </w:p>
    <w:p w:rsidR="00000000" w:rsidDel="00000000" w:rsidP="00000000" w:rsidRDefault="00000000" w:rsidRPr="00000000" w14:paraId="00000021">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22">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Per il livello 4 (inconsapevole del problema), apertura tipo storia: racconti il caso di qualcuno simile al lettore.</w:t>
      </w:r>
    </w:p>
    <w:p w:rsidR="00000000" w:rsidDel="00000000" w:rsidP="00000000" w:rsidRDefault="00000000" w:rsidRPr="00000000" w14:paraId="00000023">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24">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Per il livello 5 (totalmente inconsapevole), apertura tipo dichiarazione contro-intuitiva: “C’è una ragione precisa per cui il 90% dei siti web italiani perde clienti senza accorgersene”.</w:t>
      </w:r>
    </w:p>
    <w:p w:rsidR="00000000" w:rsidDel="00000000" w:rsidP="00000000" w:rsidRDefault="00000000" w:rsidRPr="00000000" w14:paraId="00000025">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26">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Stessa offerta, diverse landing per livelli diversi. La pre-produzione del progetto deve identificare il livello del target prima di scrivere la headline.</w:t>
      </w:r>
    </w:p>
    <w:p w:rsidR="00000000" w:rsidDel="00000000" w:rsidP="00000000" w:rsidRDefault="00000000" w:rsidRPr="00000000" w14:paraId="00000027">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w:t>
      </w:r>
    </w:p>
    <w:p w:rsidR="00000000" w:rsidDel="00000000" w:rsidP="00000000" w:rsidRDefault="00000000" w:rsidRPr="00000000" w14:paraId="00000028">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#ANIMAZIONI</w:t>
      </w:r>
    </w:p>
    <w:p w:rsidR="00000000" w:rsidDel="00000000" w:rsidP="00000000" w:rsidRDefault="00000000" w:rsidRPr="00000000" w14:paraId="00000029">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Le animazioni nell’above the fold funzionano?</w:t>
      </w:r>
    </w:p>
    <w:p w:rsidR="00000000" w:rsidDel="00000000" w:rsidP="00000000" w:rsidRDefault="00000000" w:rsidRPr="00000000" w14:paraId="0000002A">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Quasi mai. Le ho testate e tolte tutte.</w:t>
      </w:r>
    </w:p>
    <w:p w:rsidR="00000000" w:rsidDel="00000000" w:rsidP="00000000" w:rsidRDefault="00000000" w:rsidRPr="00000000" w14:paraId="0000002B">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2C">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Il colpo d’occhio con immagine chiara e testo giusto è più efficace di un’animazione che fa perdere tempo all’utente. Nell’above the fold hai 5 secondi: se la persona vede uno spazio bianco o deve aspettare il caricamento dell’animazione, pensa che il sito non funzioni.</w:t>
      </w:r>
    </w:p>
    <w:p w:rsidR="00000000" w:rsidDel="00000000" w:rsidP="00000000" w:rsidRDefault="00000000" w:rsidRPr="00000000" w14:paraId="0000002D">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2E">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Le animazioni possono funzionare più in basso nella pagina, ma devono essere molto istantanee. In genere meglio evitarle del tutto a favore di transizioni lente e leggere su scroll.</w:t>
      </w:r>
    </w:p>
    <w:p w:rsidR="00000000" w:rsidDel="00000000" w:rsidP="00000000" w:rsidRDefault="00000000" w:rsidRPr="00000000" w14:paraId="0000002F">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30">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L’eccezione: piccole animazioni di “respiro” su elementi statici (un leggero zoom o una variazione di colore su hover) funzionano se sottilissime. Tutto il resto è rumore.</w:t>
      </w:r>
    </w:p>
    <w:p w:rsidR="00000000" w:rsidDel="00000000" w:rsidP="00000000" w:rsidRDefault="00000000" w:rsidRPr="00000000" w14:paraId="00000031">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32">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#GERARCHIA</w:t>
      </w:r>
    </w:p>
    <w:p w:rsidR="00000000" w:rsidDel="00000000" w:rsidP="00000000" w:rsidRDefault="00000000" w:rsidRPr="00000000" w14:paraId="00000033">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Il sovraccarico visivo è uno degli errori più frequenti. Tre regole.</w:t>
      </w:r>
    </w:p>
    <w:p w:rsidR="00000000" w:rsidDel="00000000" w:rsidP="00000000" w:rsidRDefault="00000000" w:rsidRPr="00000000" w14:paraId="00000034">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35">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Regola 1, la regola del 7. Non più di 7 elementi visivi nell’above the fold (incluso logo, headline, sottotitolo, immagine principale, USP, call to action, eventuale badge di credibilità). Oltre 7, l’occhio non distingue le priorità.</w:t>
      </w:r>
    </w:p>
    <w:p w:rsidR="00000000" w:rsidDel="00000000" w:rsidP="00000000" w:rsidRDefault="00000000" w:rsidRPr="00000000" w14:paraId="00000036">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37">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Regola 2, una sola call to action visibile. Mai due CTA contemporaneamente nell’above the fold (una principale + una secondaria, o due principali). Una sola, ripetuta più volte in pagina ma nell’above the fold solo una.</w:t>
      </w:r>
    </w:p>
    <w:p w:rsidR="00000000" w:rsidDel="00000000" w:rsidP="00000000" w:rsidRDefault="00000000" w:rsidRPr="00000000" w14:paraId="00000038">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39">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Regola 3, gerarchia chiara con dimensioni. La headline deve essere chiaramente più grande del sottotitolo, e il sottotitolo chiaramente più grande del corpo del testo. Se tutto ha la stessa dimensione, niente è importante.</w:t>
      </w:r>
    </w:p>
    <w:p w:rsidR="00000000" w:rsidDel="00000000" w:rsidP="00000000" w:rsidRDefault="00000000" w:rsidRPr="00000000" w14:paraId="0000003A">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3B">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Per togliere elementi: prendi l’above the fold finito e domandati per ogni elemento “se lo tolgo, il visitatore capisce comunque la promessa?”. Se sì, toglilo. Se no, tienilo.</w:t>
      </w:r>
    </w:p>
    <w:p w:rsidR="00000000" w:rsidDel="00000000" w:rsidP="00000000" w:rsidRDefault="00000000" w:rsidRPr="00000000" w14:paraId="0000003C">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3D">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#MOBILE</w:t>
      </w:r>
    </w:p>
    <w:p w:rsidR="00000000" w:rsidDel="00000000" w:rsidP="00000000" w:rsidRDefault="00000000" w:rsidRPr="00000000" w14:paraId="0000003E">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Su mobile lo spazio verticale è limitato a 500-600 pixel sopra il fold. Devi far stare:</w:t>
      </w:r>
    </w:p>
    <w:p w:rsidR="00000000" w:rsidDel="00000000" w:rsidP="00000000" w:rsidRDefault="00000000" w:rsidRPr="00000000" w14:paraId="0000003F">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Logo piccolo in alto (max 40-50px di altezza).</w:t>
      </w:r>
    </w:p>
    <w:p w:rsidR="00000000" w:rsidDel="00000000" w:rsidP="00000000" w:rsidRDefault="00000000" w:rsidRPr="00000000" w14:paraId="00000040">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Headline breve (max 8-10 parole).</w:t>
      </w:r>
    </w:p>
    <w:p w:rsidR="00000000" w:rsidDel="00000000" w:rsidP="00000000" w:rsidRDefault="00000000" w:rsidRPr="00000000" w14:paraId="00000041">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Sottotitolo breve (max 12-15 parole).</w:t>
      </w:r>
    </w:p>
    <w:p w:rsidR="00000000" w:rsidDel="00000000" w:rsidP="00000000" w:rsidRDefault="00000000" w:rsidRPr="00000000" w14:paraId="00000042">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Call to action visibile senza scrollare.</w:t>
      </w:r>
    </w:p>
    <w:p w:rsidR="00000000" w:rsidDel="00000000" w:rsidP="00000000" w:rsidRDefault="00000000" w:rsidRPr="00000000" w14:paraId="00000043">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L’immagine si comprime o si elimina se occupa troppo spazio sopra il fold mobile.</w:t>
      </w:r>
    </w:p>
    <w:p w:rsidR="00000000" w:rsidDel="00000000" w:rsidP="00000000" w:rsidRDefault="00000000" w:rsidRPr="00000000" w14:paraId="00000044">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I font devono essere più grandi del desktop (minimo 18px per il body, 24-30px per la headline).</w:t>
      </w:r>
    </w:p>
    <w:p w:rsidR="00000000" w:rsidDel="00000000" w:rsidP="00000000" w:rsidRDefault="00000000" w:rsidRPr="00000000" w14:paraId="00000045">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I tap target almeno 44px di altezza (regola Apple, valida anche per Android).</w:t>
      </w:r>
    </w:p>
    <w:p w:rsidR="00000000" w:rsidDel="00000000" w:rsidP="00000000" w:rsidRDefault="00000000" w:rsidRPr="00000000" w14:paraId="00000046">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47">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Se l’utente deve scrollare per vedere la call to action, hai perso una parte significativa di conversione potenziale.</w:t>
      </w:r>
    </w:p>
    <w:p w:rsidR="00000000" w:rsidDel="00000000" w:rsidP="00000000" w:rsidRDefault="00000000" w:rsidRPr="00000000" w14:paraId="00000048">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Primo, dimensione del pulsante. Su mobile il pulsante deve essere full-width o quasi (occupa l’intera larghezza dello schermo). Su desktop può essere più piccolo e contenuto.</w:t>
      </w:r>
    </w:p>
    <w:p w:rsidR="00000000" w:rsidDel="00000000" w:rsidP="00000000" w:rsidRDefault="00000000" w:rsidRPr="00000000" w14:paraId="00000049">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4A">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Secondo, testo della call to action. Su mobile il testo deve essere ancora più breve del desktop. “Prenota la chiamata gratuita di 45 minuti” può diventare “Prenota la chiamata gratuita” o anche solo “Prenota ora”, se il contesto è chiaro.</w:t>
      </w:r>
    </w:p>
    <w:p w:rsidR="00000000" w:rsidDel="00000000" w:rsidP="00000000" w:rsidRDefault="00000000" w:rsidRPr="00000000" w14:paraId="0000004B">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4C">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Il principio: su mobile il pulsante è il punto di maggior attenzione visiva. Più è grande e leggibile, più converte.</w:t>
      </w:r>
    </w:p>
    <w:p w:rsidR="00000000" w:rsidDel="00000000" w:rsidP="00000000" w:rsidRDefault="00000000" w:rsidRPr="00000000" w14:paraId="0000004D">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4E">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Per la barra di contatto fissa (sticky) nel footer, valida solo su mobile: un pulsante con numero di telefono o WhatsApp che rimane sempre visibile mentre l’utente scrolla. Funziona molto bene per servizi B2F dove il contatto telefonico è la conversione primaria.</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