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65A82"/>
                <w:sz w:val="22"/>
                <w:szCs w:val="22"/>
              </w:rPr>
              <w:t xml:space="preserve">What is Forge?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Forge is data governance infrastructure for research organizations that harmonize data from multiple sources. It provides a versioned schema registry, AI-assisted field mapping with full audit trail, and automated validation — making harmonized research data trustworthy, repeatable, and traceable from source to publication.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60"/>
        <w:gridCol w:w="456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21"/>
                <w:szCs w:val="21"/>
              </w:rPr>
              <w:t xml:space="preserve">The Problem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Research data arrives from collaborating sites with inconsistent naming, no shared standards, and no audit trail. QC is done in spreadsheets. Compliance is manual. Institutional knowledge walks out the door.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Schema drift — data dictionaries degrade with no versioning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Untracked decisions — mapping rationale lives in tribal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No provenance — no record connecting outputs to source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Regulatory risk — FDA and NIH require traceable data lineage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D5E8F0" w:sz="4" w:space="1"/>
              </w:pBdr>
              <w:spacing w:after="0" w:before="0"/>
            </w:pPr>
            <w:r>
              <w:t xml:space="preserve"/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21"/>
                <w:szCs w:val="21"/>
              </w:rPr>
              <w:t xml:space="preserve">How It Works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C7293"/>
                <w:sz w:val="19"/>
                <w:szCs w:val="19"/>
              </w:rPr>
              <w:t xml:space="preserve">1  </w:t>
            </w: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19"/>
                <w:szCs w:val="19"/>
              </w:rPr>
              <w:t xml:space="preserve">Define Schema</w:t>
            </w:r>
          </w:p>
          <w:p>
            <w:pPr>
              <w:spacing w:after="0" w:before="50"/>
            </w:pPr>
            <w:r>
              <w:rPr>
                <w:rFonts w:ascii="Trebuchet MS" w:cs="Trebuchet MS" w:eastAsia="Trebuchet MS" w:hAnsi="Trebuchet MS"/>
                <w:b/>
                <w:bCs/>
                <w:color w:val="1C7293"/>
                <w:sz w:val="19"/>
                <w:szCs w:val="19"/>
              </w:rPr>
              <w:t xml:space="preserve">2  </w:t>
            </w: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19"/>
                <w:szCs w:val="19"/>
              </w:rPr>
              <w:t xml:space="preserve">Publish to Registry</w:t>
            </w:r>
          </w:p>
          <w:p>
            <w:pPr>
              <w:spacing w:after="0" w:before="50"/>
            </w:pPr>
            <w:r>
              <w:rPr>
                <w:rFonts w:ascii="Trebuchet MS" w:cs="Trebuchet MS" w:eastAsia="Trebuchet MS" w:hAnsi="Trebuchet MS"/>
                <w:b/>
                <w:bCs/>
                <w:color w:val="1C7293"/>
                <w:sz w:val="19"/>
                <w:szCs w:val="19"/>
              </w:rPr>
              <w:t xml:space="preserve">3  </w:t>
            </w: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19"/>
                <w:szCs w:val="19"/>
              </w:rPr>
              <w:t xml:space="preserve">Map Incoming Fields</w:t>
            </w:r>
          </w:p>
          <w:p>
            <w:pPr>
              <w:spacing w:after="0" w:before="50"/>
            </w:pPr>
            <w:r>
              <w:rPr>
                <w:rFonts w:ascii="Trebuchet MS" w:cs="Trebuchet MS" w:eastAsia="Trebuchet MS" w:hAnsi="Trebuchet MS"/>
                <w:b/>
                <w:bCs/>
                <w:color w:val="1C7293"/>
                <w:sz w:val="19"/>
                <w:szCs w:val="19"/>
              </w:rPr>
              <w:t xml:space="preserve">4  </w:t>
            </w: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19"/>
                <w:szCs w:val="19"/>
              </w:rPr>
              <w:t xml:space="preserve">Validate Data</w:t>
            </w:r>
          </w:p>
          <w:p>
            <w:pPr>
              <w:spacing w:after="0" w:before="50"/>
            </w:pPr>
            <w:r>
              <w:rPr>
                <w:rFonts w:ascii="Trebuchet MS" w:cs="Trebuchet MS" w:eastAsia="Trebuchet MS" w:hAnsi="Trebuchet MS"/>
                <w:b/>
                <w:bCs/>
                <w:color w:val="1C7293"/>
                <w:sz w:val="19"/>
                <w:szCs w:val="19"/>
              </w:rPr>
              <w:t xml:space="preserve">5  </w:t>
            </w: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19"/>
                <w:szCs w:val="19"/>
              </w:rPr>
              <w:t xml:space="preserve">Review &amp; Publish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D5E8F0" w:sz="4" w:space="1"/>
              </w:pBdr>
              <w:spacing w:after="0" w:before="0"/>
            </w:pPr>
            <w:r>
              <w:t xml:space="preserve"/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21"/>
                <w:szCs w:val="21"/>
              </w:rPr>
              <w:t xml:space="preserve">Where We’re Going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Moving to an API-first platform — every capability accessible programmatically.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Public API — Schema Registry, Harmonization, Validation, and Audit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Python SDK + CLI — for data engineers and pipeline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Integrations — REDCap, Jupyter, R, CI/CD hooks</w:t>
            </w:r>
          </w:p>
        </w:tc>
        <w:tc>
          <w:tcPr>
            <w:tcW w:type="dxa" w:w="360"/>
            <w:tcBorders>
              <w:top w:val="none" w:color="FFFFFF" w:sz="0"/>
              <w:left w:val="single" w:color="D5E8F0" w:sz="6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21"/>
                <w:szCs w:val="21"/>
              </w:rPr>
              <w:t xml:space="preserve">What You Get</w:t>
            </w:r>
          </w:p>
          <w:p>
            <w:pPr>
              <w:spacing w:after="0" w:before="20"/>
            </w:pPr>
            <w:r>
              <w:t xml:space="preserve"/>
            </w:r>
          </w:p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420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7293" w:val="clear"/>
                </w:tcPr>
                <w:p/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8FF" w:val="clear"/>
                  <w:tcMar>
                    <w:top w:type="dxa" w:w="60"/>
                    <w:left w:type="dxa" w:w="160"/>
                    <w:bottom w:type="dxa" w:w="6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Trebuchet MS" w:cs="Trebuchet MS" w:eastAsia="Trebuchet MS" w:hAnsi="Trebuchet MS"/>
                      <w:b/>
                      <w:bCs/>
                      <w:color w:val="1E2761"/>
                      <w:sz w:val="20"/>
                      <w:szCs w:val="20"/>
                    </w:rPr>
                    <w:t xml:space="preserve">Weeks → Minutes</w:t>
                  </w:r>
                  <w:r>
                    <w:rPr>
                      <w:rFonts w:ascii="Calibri" w:cs="Calibri" w:eastAsia="Calibri" w:hAnsi="Calibri"/>
                      <w:color w:val="1C7293"/>
                      <w:sz w:val="17"/>
                      <w:szCs w:val="17"/>
                    </w:rPr>
                    <w:t xml:space="preserve">  —  QC Time per Submission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4A5568"/>
                      <w:sz w:val="17"/>
                      <w:szCs w:val="17"/>
                    </w:rPr>
                    <w:t xml:space="preserve">Automated validation replaces manual spreadsheet review.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420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7293" w:val="clear"/>
                </w:tcPr>
                <w:p/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8FF" w:val="clear"/>
                  <w:tcMar>
                    <w:top w:type="dxa" w:w="60"/>
                    <w:left w:type="dxa" w:w="160"/>
                    <w:bottom w:type="dxa" w:w="6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Trebuchet MS" w:cs="Trebuchet MS" w:eastAsia="Trebuchet MS" w:hAnsi="Trebuchet MS"/>
                      <w:b/>
                      <w:bCs/>
                      <w:color w:val="1E2761"/>
                      <w:sz w:val="20"/>
                      <w:szCs w:val="20"/>
                    </w:rPr>
                    <w:t xml:space="preserve">Tribal → Audited</w:t>
                  </w:r>
                  <w:r>
                    <w:rPr>
                      <w:rFonts w:ascii="Calibri" w:cs="Calibri" w:eastAsia="Calibri" w:hAnsi="Calibri"/>
                      <w:color w:val="1C7293"/>
                      <w:sz w:val="17"/>
                      <w:szCs w:val="17"/>
                    </w:rPr>
                    <w:t xml:space="preserve">  —  Mapping Decisions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4A5568"/>
                      <w:sz w:val="17"/>
                      <w:szCs w:val="17"/>
                    </w:rPr>
                    <w:t xml:space="preserve">Every field mapping recorded with actor, timestamp, and rationale.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420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7293" w:val="clear"/>
                </w:tcPr>
                <w:p/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8FF" w:val="clear"/>
                  <w:tcMar>
                    <w:top w:type="dxa" w:w="60"/>
                    <w:left w:type="dxa" w:w="160"/>
                    <w:bottom w:type="dxa" w:w="6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Trebuchet MS" w:cs="Trebuchet MS" w:eastAsia="Trebuchet MS" w:hAnsi="Trebuchet MS"/>
                      <w:b/>
                      <w:bCs/>
                      <w:color w:val="1E2761"/>
                      <w:sz w:val="20"/>
                      <w:szCs w:val="20"/>
                    </w:rPr>
                    <w:t xml:space="preserve">Ad-hoc → Versioned</w:t>
                  </w:r>
                  <w:r>
                    <w:rPr>
                      <w:rFonts w:ascii="Calibri" w:cs="Calibri" w:eastAsia="Calibri" w:hAnsi="Calibri"/>
                      <w:color w:val="1C7293"/>
                      <w:sz w:val="17"/>
                      <w:szCs w:val="17"/>
                    </w:rPr>
                    <w:t xml:space="preserve">  —  Data Standards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4A5568"/>
                      <w:sz w:val="17"/>
                      <w:szCs w:val="17"/>
                    </w:rPr>
                    <w:t xml:space="preserve">Schemas are immutable and versioned. Change = new version.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420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7293" w:val="clear"/>
                </w:tcPr>
                <w:p/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8FF" w:val="clear"/>
                  <w:tcMar>
                    <w:top w:type="dxa" w:w="60"/>
                    <w:left w:type="dxa" w:w="160"/>
                    <w:bottom w:type="dxa" w:w="60"/>
                    <w:right w:type="dxa" w:w="12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Trebuchet MS" w:cs="Trebuchet MS" w:eastAsia="Trebuchet MS" w:hAnsi="Trebuchet MS"/>
                      <w:b/>
                      <w:bCs/>
                      <w:color w:val="1E2761"/>
                      <w:sz w:val="20"/>
                      <w:szCs w:val="20"/>
                    </w:rPr>
                    <w:t xml:space="preserve">None → Row-Level</w:t>
                  </w:r>
                  <w:r>
                    <w:rPr>
                      <w:rFonts w:ascii="Calibri" w:cs="Calibri" w:eastAsia="Calibri" w:hAnsi="Calibri"/>
                      <w:color w:val="1C7293"/>
                      <w:sz w:val="17"/>
                      <w:szCs w:val="17"/>
                    </w:rPr>
                    <w:t xml:space="preserve">  —  Data Provenance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4A5568"/>
                      <w:sz w:val="17"/>
                      <w:szCs w:val="17"/>
                    </w:rPr>
                    <w:t xml:space="preserve">Every record traces back to submission, reviewer, version, timestamp.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D5E8F0" w:sz="4" w:space="1"/>
              </w:pBdr>
              <w:spacing w:after="0" w:before="0"/>
            </w:pPr>
            <w:r>
              <w:t xml:space="preserve"/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E2761"/>
                <w:sz w:val="21"/>
                <w:szCs w:val="21"/>
              </w:rPr>
              <w:t xml:space="preserve">Use Cases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65A82"/>
                <w:sz w:val="20"/>
                <w:szCs w:val="20"/>
              </w:rPr>
              <w:t xml:space="preserve">GP2 — Global Parkinson’s Genetics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30+ international sites, 37 canonical fields, 6 collections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Standard nomenclature enforced across a global consortium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AI maps each site’s naming conventions to the canonical schema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65A82"/>
                <w:sz w:val="20"/>
                <w:szCs w:val="20"/>
              </w:rPr>
              <w:t xml:space="preserve">Path-ND — Neuropathology CDEs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1,616 fields, 15 collections, two independent source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500+ alternate field names mapped automatically (BRAAK → braak_nft_stage)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Validates Braak stage ranges, enum diagnoses, cross-field logic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5E8F0" w:sz="4" w:space="1"/>
      </w:pBdr>
      <w:spacing w:after="0" w:before="0"/>
    </w:pPr>
    <w:r>
      <w:t xml:space="preserve"/>
    </w:r>
  </w:p>
  <w:p>
    <w:pPr>
      <w:tabs>
        <w:tab w:val="right" w:pos="9026"/>
      </w:tabs>
      <w:spacing w:after="0"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Forge  ·  SchemaForge + DataForge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Trusted  ·  Traceable  ·  Scalable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E2761" w:val="clear"/>
      <w:tabs>
        <w:tab w:val="right" w:pos="9026"/>
      </w:tabs>
      <w:spacing w:after="120" w:before="120"/>
      <w:ind w:left="240" w:right="240"/>
    </w:pPr>
    <w:r>
      <w:rPr>
        <w:rFonts w:ascii="Trebuchet MS" w:cs="Trebuchet MS" w:eastAsia="Trebuchet MS" w:hAnsi="Trebuchet MS"/>
        <w:b/>
        <w:bCs/>
        <w:color w:val="FFFFFF"/>
        <w:sz w:val="36"/>
        <w:szCs w:val="36"/>
      </w:rPr>
      <w:t xml:space="preserve">Forge</w:t>
    </w:r>
    <w:r>
      <w:rPr>
        <w:sz w:val="36"/>
        <w:szCs w:val="36"/>
      </w:rPr>
      <w:t xml:space="preserve">	</w:t>
    </w:r>
    <w:r>
      <w:rPr>
        <w:rFonts w:ascii="Calibri" w:cs="Calibri" w:eastAsia="Calibri" w:hAnsi="Calibri"/>
        <w:color w:val="CADCFC"/>
        <w:sz w:val="20"/>
        <w:szCs w:val="20"/>
      </w:rPr>
      <w:t xml:space="preserve">Data Governance Infrastructure for Research</w:t>
    </w:r>
  </w:p>
  <w:p>
    <w:pPr>
      <w:pBdr>
        <w:bottom w:val="single" w:color="1C7293" w:sz="12" w:space="0"/>
      </w:pBdr>
      <w:shd w:fill="1C7293" w:val="clear"/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C729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20"/>
      <w:outlineLvl w:val="0"/>
    </w:pPr>
    <w:rPr>
      <w:rFonts w:ascii="Trebuchet MS" w:cs="Trebuchet MS" w:eastAsia="Trebuchet MS" w:hAnsi="Trebuchet MS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2026-03-11T16:19:20.945Z</dcterms:created>
  <dcterms:modified xsi:type="dcterms:W3CDTF">2026-03-11T16:19:20.945Z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