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D61" w:rsidRDefault="00501EAB">
      <w:pPr>
        <w:spacing w:after="0" w:line="259" w:lineRule="auto"/>
        <w:ind w:left="352" w:right="0" w:firstLine="0"/>
        <w:jc w:val="center"/>
      </w:pPr>
      <w:bookmarkStart w:id="0" w:name="_GoBack"/>
      <w:bookmarkEnd w:id="0"/>
      <w:r>
        <w:rPr>
          <w:b/>
        </w:rPr>
        <w:t xml:space="preserve">ANEXO I </w:t>
      </w:r>
      <w:r>
        <w:t xml:space="preserve"> </w:t>
      </w:r>
    </w:p>
    <w:p w:rsidR="00014D61" w:rsidRDefault="00501EAB">
      <w:pPr>
        <w:pStyle w:val="Ttulo1"/>
        <w:numPr>
          <w:ilvl w:val="0"/>
          <w:numId w:val="0"/>
        </w:numPr>
        <w:spacing w:after="0"/>
        <w:ind w:left="1676"/>
      </w:pPr>
      <w:r>
        <w:t xml:space="preserve">Regras aplicáveis ao instrumento substitutivo ao contrato  </w:t>
      </w:r>
    </w:p>
    <w:p w:rsidR="00014D61" w:rsidRDefault="00501EAB">
      <w:pPr>
        <w:spacing w:after="0" w:line="259" w:lineRule="auto"/>
        <w:ind w:left="396" w:right="0" w:firstLine="0"/>
        <w:jc w:val="center"/>
      </w:pPr>
      <w:r>
        <w:rPr>
          <w:b/>
          <w:color w:val="BFBFBF"/>
          <w:sz w:val="16"/>
        </w:rPr>
        <w:t xml:space="preserve"> </w:t>
      </w:r>
    </w:p>
    <w:p w:rsidR="00014D61" w:rsidRDefault="00501EAB">
      <w:pPr>
        <w:spacing w:after="0" w:line="250" w:lineRule="auto"/>
        <w:ind w:left="374" w:right="45" w:hanging="10"/>
        <w:jc w:val="center"/>
      </w:pPr>
      <w:r>
        <w:rPr>
          <w:b/>
          <w:color w:val="BFBFBF"/>
          <w:sz w:val="16"/>
        </w:rPr>
        <w:t xml:space="preserve"> (Compra com entrega imediata e integral de bens adquiridos, sem previsão de obrigações futuras, inclusive quanto à assistência técnica, independentemente do valor - </w:t>
      </w:r>
      <w:r>
        <w:rPr>
          <w:b/>
          <w:color w:val="BFBFBF"/>
          <w:sz w:val="16"/>
        </w:rPr>
        <w:t xml:space="preserve">art. 95, inciso II, da Lei n. </w:t>
      </w:r>
    </w:p>
    <w:p w:rsidR="00014D61" w:rsidRDefault="00501EAB">
      <w:pPr>
        <w:spacing w:after="28" w:line="250" w:lineRule="auto"/>
        <w:ind w:left="374" w:right="0" w:hanging="10"/>
        <w:jc w:val="center"/>
      </w:pPr>
      <w:r>
        <w:rPr>
          <w:b/>
          <w:color w:val="BFBFBF"/>
          <w:sz w:val="16"/>
        </w:rPr>
        <w:t xml:space="preserve">14.133/2021)  </w:t>
      </w:r>
    </w:p>
    <w:p w:rsidR="00014D61" w:rsidRDefault="00501EAB">
      <w:pPr>
        <w:spacing w:after="103" w:line="259" w:lineRule="auto"/>
        <w:ind w:left="520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014D61" w:rsidRDefault="00501EAB">
      <w:pPr>
        <w:pStyle w:val="Ttulo1"/>
        <w:ind w:left="259" w:hanging="221"/>
      </w:pPr>
      <w:r>
        <w:t xml:space="preserve">FORMALIZAÇÃO DA CONTRATAÇÃO  </w:t>
      </w:r>
    </w:p>
    <w:p w:rsidR="00014D61" w:rsidRDefault="00501EAB">
      <w:pPr>
        <w:ind w:left="792" w:right="0" w:hanging="432"/>
      </w:pPr>
      <w:r>
        <w:t>1.1. O adjudicatário terá o prazo de 05 (cinco) dias úteis, contado a partir da data de sua convocação, para aceitar o instrumento equivalente ao contrato [Nota de Empenho/Carta</w:t>
      </w:r>
      <w:r>
        <w:rPr>
          <w:strike/>
        </w:rPr>
        <w:t xml:space="preserve">, </w:t>
      </w:r>
      <w:r>
        <w:t xml:space="preserve">sob pena de decair do direito à contratação, sem prejuízo das sanções previstas.  </w:t>
      </w:r>
    </w:p>
    <w:p w:rsidR="00014D61" w:rsidRDefault="00501EAB">
      <w:pPr>
        <w:ind w:left="792" w:right="0" w:hanging="432"/>
      </w:pPr>
      <w:r>
        <w:t xml:space="preserve">1.2. O prazo poderá ser prorrogado, por igual período, por solicitação justificada do adjudicatário e aceita pela Administração.  </w:t>
      </w:r>
    </w:p>
    <w:p w:rsidR="00014D61" w:rsidRDefault="00501EAB">
      <w:pPr>
        <w:ind w:left="370" w:right="0" w:hanging="10"/>
      </w:pPr>
      <w:r>
        <w:t>1.3. O aceite do instrumento equivalente</w:t>
      </w:r>
      <w:r>
        <w:t xml:space="preserve"> pelo adjudicatário implica no reconhecimento de que:  </w:t>
      </w:r>
    </w:p>
    <w:p w:rsidR="00014D61" w:rsidRDefault="00501EAB">
      <w:pPr>
        <w:ind w:left="1219" w:right="0"/>
      </w:pPr>
      <w:r>
        <w:t xml:space="preserve">1.3.1. referido instrumento substitui o termo de contrato, sendo-lhe aplicáveis as disposições da Lei nº 14.133/2021;  </w:t>
      </w:r>
    </w:p>
    <w:p w:rsidR="00014D61" w:rsidRDefault="00501EAB">
      <w:pPr>
        <w:spacing w:after="5"/>
        <w:ind w:left="1219" w:right="0"/>
      </w:pPr>
      <w:r>
        <w:t xml:space="preserve">1.3.2. o Contratado se vincula à sua proposta e às previsões contidas no Edital, no Termo de Referência e em seus anexos, conforme Termo de Ciência e Concordância </w:t>
      </w:r>
    </w:p>
    <w:p w:rsidR="00014D61" w:rsidRDefault="00501EAB">
      <w:pPr>
        <w:ind w:left="1224" w:right="0" w:firstLine="0"/>
      </w:pPr>
      <w:r>
        <w:t xml:space="preserve">(Anexo II).  </w:t>
      </w:r>
    </w:p>
    <w:p w:rsidR="00014D61" w:rsidRDefault="00501EAB">
      <w:pPr>
        <w:pStyle w:val="Ttulo1"/>
        <w:ind w:left="259" w:hanging="221"/>
      </w:pPr>
      <w:r>
        <w:t xml:space="preserve">VIGÊNCIA E PRORROGAÇÃO  </w:t>
      </w:r>
    </w:p>
    <w:p w:rsidR="00014D61" w:rsidRDefault="00501EAB">
      <w:pPr>
        <w:ind w:left="792" w:right="0" w:hanging="432"/>
      </w:pPr>
      <w:r>
        <w:t>2.1. O prazo de vigência da contratação é aquele esta</w:t>
      </w:r>
      <w:r>
        <w:t xml:space="preserve">belecido no Termo de Referência, na forma do artigo 105 da Lei n° 14.133, de 2021.  </w:t>
      </w:r>
    </w:p>
    <w:p w:rsidR="00014D61" w:rsidRDefault="00501EAB">
      <w:pPr>
        <w:ind w:left="792" w:right="0" w:hanging="432"/>
      </w:pPr>
      <w:r>
        <w:t>2.2. O prazo de vigência será automaticamente prorrogado, independentemente de termo aditivo, quando o objeto não for concluído no período firmado acima, ressalvadas as pr</w:t>
      </w:r>
      <w:r>
        <w:t xml:space="preserve">ovidências cabíveis no caso de culpa do Contratado, previstas neste instrumento.  </w:t>
      </w:r>
    </w:p>
    <w:p w:rsidR="00014D61" w:rsidRDefault="00501EAB">
      <w:pPr>
        <w:pStyle w:val="Ttulo1"/>
        <w:ind w:left="259" w:hanging="221"/>
      </w:pPr>
      <w:r>
        <w:t xml:space="preserve">OBRIGAÇÕES DO CONTRATANTE   </w:t>
      </w:r>
    </w:p>
    <w:p w:rsidR="00014D61" w:rsidRDefault="00501EAB">
      <w:pPr>
        <w:ind w:left="360" w:right="0" w:firstLine="0"/>
      </w:pPr>
      <w:r>
        <w:t xml:space="preserve">3.1. São obrigações do Contratante:  </w:t>
      </w:r>
    </w:p>
    <w:p w:rsidR="00014D61" w:rsidRDefault="00501EAB">
      <w:pPr>
        <w:ind w:left="1219" w:right="0"/>
      </w:pPr>
      <w:r>
        <w:t>3.1.1. Exigir o cumprimento de todas as obrigações assumidas pelo Contratado, de acordo com o Termo de Ref</w:t>
      </w:r>
      <w:r>
        <w:t xml:space="preserve">erência e seus anexos;  </w:t>
      </w:r>
    </w:p>
    <w:p w:rsidR="00014D61" w:rsidRDefault="00501EAB">
      <w:pPr>
        <w:ind w:left="705" w:right="0" w:firstLine="0"/>
      </w:pPr>
      <w:r>
        <w:t xml:space="preserve">3.1.2. Receber o objeto no prazo e condições estabelecidas no Termo de Referência;  </w:t>
      </w:r>
    </w:p>
    <w:p w:rsidR="00014D61" w:rsidRDefault="00501EAB">
      <w:pPr>
        <w:ind w:left="1219" w:right="0"/>
      </w:pPr>
      <w:r>
        <w:t>3.1.3. Notificar o Contratado, por escrito, sobre vícios, defeitos incorreções, imperfeições, falhas ou irregularidades verificadas na execução do</w:t>
      </w:r>
      <w:r>
        <w:t xml:space="preserve"> objeto contratual, fixando prazo para que seja substituído, reparado ou corrigido, total ou parcialmente, às suas expensas, certificando-se de que as soluções por ele propostas sejam as mais adequadas;  </w:t>
      </w:r>
    </w:p>
    <w:p w:rsidR="00014D61" w:rsidRDefault="00501EAB">
      <w:pPr>
        <w:ind w:left="1219" w:right="0"/>
      </w:pPr>
      <w:r>
        <w:t>3.1.4. Acompanhar e fiscalizar a execução contratua</w:t>
      </w:r>
      <w:r>
        <w:t xml:space="preserve">l e o cumprimento das obrigações pelo Contratado;  </w:t>
      </w:r>
    </w:p>
    <w:p w:rsidR="00014D61" w:rsidRDefault="00501EAB">
      <w:pPr>
        <w:ind w:left="1219" w:right="0"/>
      </w:pPr>
      <w:r>
        <w:t xml:space="preserve">3.1.5. Efetuar o pagamento ao Contratado do valor correspondente ao fornecimento do objeto, no prazo, forma e condições estabelecidos no Termo de Referência e neste Anexo;  </w:t>
      </w:r>
    </w:p>
    <w:p w:rsidR="00014D61" w:rsidRDefault="00501EAB">
      <w:pPr>
        <w:ind w:left="705" w:right="0" w:firstLine="0"/>
      </w:pPr>
      <w:r>
        <w:t>3.1.6. Aplicar ao Contratado a</w:t>
      </w:r>
      <w:r>
        <w:t xml:space="preserve">s sanções previstas na lei e no Termo de Referência;   </w:t>
      </w:r>
    </w:p>
    <w:p w:rsidR="00014D61" w:rsidRDefault="00501EAB">
      <w:pPr>
        <w:ind w:left="1219" w:right="0"/>
      </w:pPr>
      <w:r>
        <w:t xml:space="preserve">3.1.7. Cientificar o órgão de representação judicial da Advocacia-Geral da União para adoção das medidas cabíveis quando do descumprimento de obrigações pelo Contratado;  </w:t>
      </w:r>
    </w:p>
    <w:p w:rsidR="00014D61" w:rsidRDefault="00501EAB">
      <w:pPr>
        <w:ind w:left="1219" w:right="0"/>
      </w:pPr>
      <w:r>
        <w:lastRenderedPageBreak/>
        <w:t>3.1.8. Explicitamente emitir</w:t>
      </w:r>
      <w:r>
        <w:t xml:space="preserve"> decisão sobre todas as solicitações e reclamações relacionadas à execução contratual, ressalvados os requerimentos manifestamente impertinentes, meramente protelatórios ou de nenhum interesse para a boa execução do ajuste.  </w:t>
      </w:r>
    </w:p>
    <w:p w:rsidR="00014D61" w:rsidRDefault="00501EAB">
      <w:pPr>
        <w:ind w:left="1728" w:right="0" w:hanging="648"/>
      </w:pPr>
      <w:r>
        <w:t xml:space="preserve">3.1.8.1. A Administração terá </w:t>
      </w:r>
      <w:r>
        <w:t xml:space="preserve">o prazo de 15 (quinze) dias, a contar da data do protocolo do requerimento para decidir, admitida a prorrogação motivada, por igual período.   </w:t>
      </w:r>
    </w:p>
    <w:p w:rsidR="00014D61" w:rsidRDefault="00501EAB">
      <w:pPr>
        <w:spacing w:after="71" w:line="241" w:lineRule="auto"/>
        <w:ind w:left="802" w:right="0" w:hanging="442"/>
        <w:jc w:val="left"/>
      </w:pPr>
      <w:r>
        <w:t>3.2. A Administração não responderá por quaisquer compromissos assumidos pelo Contratado com terceiros, ainda que vinculados à execução do objeto contratual, bem como por qualquer dano causado a terceiros em decorrência de ato do Contratado, de seus empreg</w:t>
      </w:r>
      <w:r>
        <w:t xml:space="preserve">ados, prepostos ou subordinados.  </w:t>
      </w:r>
    </w:p>
    <w:p w:rsidR="00014D61" w:rsidRDefault="00501EAB">
      <w:pPr>
        <w:pStyle w:val="Ttulo1"/>
        <w:ind w:left="259" w:hanging="221"/>
      </w:pPr>
      <w:r>
        <w:t xml:space="preserve">OBRIGAÇÕES DO CONTRATADO  </w:t>
      </w:r>
    </w:p>
    <w:p w:rsidR="00014D61" w:rsidRDefault="00501EAB">
      <w:pPr>
        <w:ind w:left="792" w:right="0" w:hanging="432"/>
      </w:pPr>
      <w:r>
        <w:t>4.1. O Contratado deve cumprir todas as obrigações constantes do Termo de Referência e deste Anexo, assumindo como exclusivamente seus os riscos e as despesas decorrentes da boa e perfeita execu</w:t>
      </w:r>
      <w:r>
        <w:t xml:space="preserve">ção do objeto, observando, ainda, as obrigações a seguir dispostas:  </w:t>
      </w:r>
    </w:p>
    <w:p w:rsidR="00014D61" w:rsidRDefault="00501EAB">
      <w:pPr>
        <w:ind w:left="1219" w:right="0"/>
      </w:pPr>
      <w:r>
        <w:t xml:space="preserve">4.1.1. Entregar o objeto acompanhado do manual do usuário, com uma versão em português, e da relação da rede de assistência técnica autorizada;  </w:t>
      </w:r>
    </w:p>
    <w:p w:rsidR="00014D61" w:rsidRDefault="00501EAB">
      <w:pPr>
        <w:ind w:left="1219" w:right="0"/>
      </w:pPr>
      <w:r>
        <w:t>4.1.2. Responsabilizar-se pelos vícios e</w:t>
      </w:r>
      <w:r>
        <w:t xml:space="preserve"> danos decorrentes do objeto, de acordo com o Código de Defesa do Consumidor;  </w:t>
      </w:r>
    </w:p>
    <w:p w:rsidR="00014D61" w:rsidRDefault="00501EAB">
      <w:pPr>
        <w:ind w:left="1219" w:right="0"/>
      </w:pPr>
      <w:r>
        <w:t>4.1.3. Comunicar ao Contratante, no prazo máximo de 24 (vinte e quatro) horas que antecede a data da entrega, os motivos que impossibilitem o cumprimento do prazo previsto, com</w:t>
      </w:r>
      <w:r>
        <w:t xml:space="preserve"> a devida comprovação;  </w:t>
      </w:r>
    </w:p>
    <w:p w:rsidR="00014D61" w:rsidRDefault="00501EAB">
      <w:pPr>
        <w:ind w:left="1219" w:right="0"/>
      </w:pPr>
      <w:r>
        <w:t xml:space="preserve">4.1.4. Atender às determinações regulares emitidas pelo fiscal ou gestor contratuais ou autoridade superior e prestar todo esclarecimento ou informação por eles solicitados;  </w:t>
      </w:r>
    </w:p>
    <w:p w:rsidR="00014D61" w:rsidRDefault="00501EAB">
      <w:pPr>
        <w:ind w:left="1219" w:right="0"/>
      </w:pPr>
      <w:r>
        <w:t>4.1.5. Reparar, corrigir, remover, reconstruir ou subst</w:t>
      </w:r>
      <w:r>
        <w:t xml:space="preserve">ituir, às suas expensas, no total ou em parte, no prazo fixado pelo fiscal contratual, os bens nos quais se verificarem vícios, defeitos ou incorreções resultantes da execução ou dos materiais empregados;  </w:t>
      </w:r>
    </w:p>
    <w:p w:rsidR="00014D61" w:rsidRDefault="00501EAB">
      <w:pPr>
        <w:ind w:left="1219" w:right="0"/>
      </w:pPr>
      <w:r>
        <w:t>4.1.6. Responsabilizar-se pelos vícios e danos de</w:t>
      </w:r>
      <w:r>
        <w:t>correntes da execução do objeto, bem como por todo e qualquer dano causado à Administração ou terceiros, não reduzindo essa responsabilidade a fiscalização ou o acompanhamento da execução contratual pelo Contratante, que ficará autorizado a descontar dos p</w:t>
      </w:r>
      <w:r>
        <w:t xml:space="preserve">agamentos devidos ou da garantia, caso exigida, o valor correspondente aos danos sofridos;  </w:t>
      </w:r>
    </w:p>
    <w:p w:rsidR="00014D61" w:rsidRDefault="00501EAB">
      <w:pPr>
        <w:ind w:left="1219" w:right="0"/>
      </w:pPr>
      <w:r>
        <w:t>4.1.7. Quando não for possível a verificação da regularidade no Sistema de Cadastro de Fornecedores – SICAF, o Contratado deverá entregar ao setor responsável pela</w:t>
      </w:r>
      <w:r>
        <w:t xml:space="preserve"> fiscalização contratual, junto com a Nota Fiscal para fins de pagamento, os seguintes documentos:  </w:t>
      </w:r>
    </w:p>
    <w:p w:rsidR="00014D61" w:rsidRDefault="00501EAB">
      <w:pPr>
        <w:tabs>
          <w:tab w:val="center" w:pos="1415"/>
          <w:tab w:val="center" w:pos="4396"/>
        </w:tabs>
        <w:ind w:left="0" w:right="0" w:firstLine="0"/>
        <w:jc w:val="left"/>
      </w:pPr>
      <w:r>
        <w:t xml:space="preserve"> </w:t>
      </w:r>
      <w:r>
        <w:tab/>
        <w:t xml:space="preserve">4.1.7.1.  </w:t>
      </w:r>
      <w:r>
        <w:tab/>
        <w:t xml:space="preserve">prova de regularidade relativa à Seguridade Social;  </w:t>
      </w:r>
    </w:p>
    <w:p w:rsidR="00014D61" w:rsidRDefault="00501EAB">
      <w:pPr>
        <w:tabs>
          <w:tab w:val="center" w:pos="1415"/>
          <w:tab w:val="right" w:pos="8505"/>
        </w:tabs>
        <w:ind w:left="0" w:right="0" w:firstLine="0"/>
        <w:jc w:val="left"/>
      </w:pPr>
      <w:r>
        <w:t xml:space="preserve"> </w:t>
      </w:r>
      <w:r>
        <w:tab/>
        <w:t xml:space="preserve">4.1.7.2.  </w:t>
      </w:r>
      <w:r>
        <w:tab/>
        <w:t>certidão conjunta relativa aos tributos federais e à Dívida Ativa da União;</w:t>
      </w:r>
      <w:r>
        <w:t xml:space="preserve">  </w:t>
      </w:r>
    </w:p>
    <w:p w:rsidR="00014D61" w:rsidRDefault="00501EAB">
      <w:pPr>
        <w:ind w:left="1728" w:right="0" w:hanging="648"/>
      </w:pPr>
      <w:r>
        <w:t xml:space="preserve">4.1.7.3. certidões que comprovem a regularidade perante a Fazenda Estadual ou Distrital do domicílio ou sede do Contratado;   </w:t>
      </w:r>
    </w:p>
    <w:p w:rsidR="00014D61" w:rsidRDefault="00501EAB">
      <w:pPr>
        <w:tabs>
          <w:tab w:val="center" w:pos="1415"/>
          <w:tab w:val="center" w:pos="4129"/>
        </w:tabs>
        <w:ind w:left="0" w:right="0" w:firstLine="0"/>
        <w:jc w:val="left"/>
      </w:pPr>
      <w:r>
        <w:t xml:space="preserve"> </w:t>
      </w:r>
      <w:r>
        <w:tab/>
        <w:t xml:space="preserve">4.1.7.4.  </w:t>
      </w:r>
      <w:r>
        <w:tab/>
        <w:t xml:space="preserve">Certidão de Regularidade do FGTS – CRF; e  </w:t>
      </w:r>
    </w:p>
    <w:p w:rsidR="00014D61" w:rsidRDefault="00501EAB">
      <w:pPr>
        <w:tabs>
          <w:tab w:val="center" w:pos="1415"/>
          <w:tab w:val="center" w:pos="4425"/>
        </w:tabs>
        <w:ind w:left="0" w:right="0" w:firstLine="0"/>
        <w:jc w:val="left"/>
      </w:pPr>
      <w:r>
        <w:t xml:space="preserve"> </w:t>
      </w:r>
      <w:r>
        <w:tab/>
        <w:t xml:space="preserve">4.1.7.5.  </w:t>
      </w:r>
      <w:r>
        <w:tab/>
        <w:t xml:space="preserve">Certidão Negativa de Débitos Trabalhistas – CNDT;   </w:t>
      </w:r>
    </w:p>
    <w:p w:rsidR="00014D61" w:rsidRDefault="00501EAB">
      <w:pPr>
        <w:ind w:left="1219" w:right="0"/>
      </w:pPr>
      <w:r>
        <w:lastRenderedPageBreak/>
        <w:t>4.1.8. Responsabilizar-se pelo cumprimento de todas as obrigações trabalhistas, previdenciárias, fiscais, comerciais e as demais previstas em legislação específica, cuja inadimplência não transfere a responsabilidade ao Contratante e não poderá onerar o ob</w:t>
      </w:r>
      <w:r>
        <w:t xml:space="preserve">jeto da contratação;  </w:t>
      </w:r>
    </w:p>
    <w:p w:rsidR="00014D61" w:rsidRDefault="00501EAB">
      <w:pPr>
        <w:ind w:left="1219" w:right="0"/>
      </w:pPr>
      <w:r>
        <w:t xml:space="preserve">4.1.9. Comunicar ao Fiscal, no prazo de 24 (vinte e quatro) horas, qualquer ocorrência anormal ou acidente que se verifique no local da execução do objeto contratual.  </w:t>
      </w:r>
    </w:p>
    <w:p w:rsidR="00014D61" w:rsidRDefault="00501EAB">
      <w:pPr>
        <w:ind w:left="1219" w:right="0"/>
      </w:pPr>
      <w:r>
        <w:t>4.1.10. Paralisar, por determinação do Contratante, qualquer ati</w:t>
      </w:r>
      <w:r>
        <w:t xml:space="preserve">vidade que não esteja sendo executada de acordo com a boa técnica ou que ponha em risco a segurança de pessoas ou bens de terceiros.  </w:t>
      </w:r>
    </w:p>
    <w:p w:rsidR="00014D61" w:rsidRDefault="00501EAB">
      <w:pPr>
        <w:ind w:left="1219" w:right="0"/>
      </w:pPr>
      <w:r>
        <w:t>4.1.11. Manter, durante toda a vigência da contratação, em compatibilidade com as obrigações assumidas, todas as condiçõe</w:t>
      </w:r>
      <w:r>
        <w:t xml:space="preserve">s exigidas para habilitação na licitação ou para qualificação na contratação direta;   </w:t>
      </w:r>
    </w:p>
    <w:p w:rsidR="00014D61" w:rsidRDefault="00501EAB">
      <w:pPr>
        <w:ind w:left="1219" w:right="0"/>
      </w:pPr>
      <w:r>
        <w:t xml:space="preserve">4.1.12. Cumprir, durante todo o período de execução contratual, a reserva de cargos prevista em lei para pessoa com deficiência, para reabilitado da Previdência Social </w:t>
      </w:r>
      <w:r>
        <w:t xml:space="preserve">ou para aprendiz, bem como as reservas de cargos previstas na legislação;  </w:t>
      </w:r>
    </w:p>
    <w:p w:rsidR="00014D61" w:rsidRDefault="00501EAB">
      <w:pPr>
        <w:ind w:left="1219" w:right="0"/>
      </w:pPr>
      <w:r>
        <w:t>4.1.13. Comprovar a reserva de cargos a que se refere a cláusula acima, no prazo fixado pela fiscalização contratual, com a indicação dos empregados que preencheram as referidas va</w:t>
      </w:r>
      <w:r>
        <w:t xml:space="preserve">gas;  </w:t>
      </w:r>
    </w:p>
    <w:p w:rsidR="00014D61" w:rsidRDefault="00501EAB">
      <w:pPr>
        <w:ind w:left="715" w:right="0" w:hanging="10"/>
      </w:pPr>
      <w:r>
        <w:t xml:space="preserve">4.1.14. Guardar sigilo sobre todas as informações obtidas em decorrência da execução do objeto;  </w:t>
      </w:r>
    </w:p>
    <w:p w:rsidR="00014D61" w:rsidRDefault="00501EAB">
      <w:pPr>
        <w:ind w:left="1219" w:right="0"/>
      </w:pPr>
      <w:r>
        <w:t>4.1.15. Arcar com o ônus decorrente de eventual equívoco no dimensionamento dos quantitativos de sua proposta, inclusive quanto aos custos variáveis de</w:t>
      </w:r>
      <w:r>
        <w:t xml:space="preserve">correntes de fatores futuros e incertos, devendo complementá-los, caso o previsto inicialmente em sua proposta não seja satisfatório  </w:t>
      </w:r>
    </w:p>
    <w:p w:rsidR="00014D61" w:rsidRDefault="00501EAB">
      <w:pPr>
        <w:ind w:left="1234" w:right="0" w:hanging="10"/>
      </w:pPr>
      <w:r>
        <w:t>para o atendimento do objeto da contratação, exceto quando ocorrer algum dos eventos arrolados no art. 124, II, d, da Lei</w:t>
      </w:r>
      <w:r>
        <w:t xml:space="preserve"> nº 14.133, de 2021;  </w:t>
      </w:r>
    </w:p>
    <w:p w:rsidR="00014D61" w:rsidRDefault="00501EAB">
      <w:pPr>
        <w:ind w:left="1219" w:right="0"/>
      </w:pPr>
      <w:r>
        <w:t xml:space="preserve">4.1.16. Cumprir, além dos postulados legais vigentes de âmbito federal, estadual ou municipal, as normas de segurança do Contratante;  </w:t>
      </w:r>
    </w:p>
    <w:p w:rsidR="00014D61" w:rsidRDefault="00501EAB">
      <w:pPr>
        <w:pStyle w:val="Ttulo1"/>
        <w:ind w:left="259" w:hanging="221"/>
      </w:pPr>
      <w:r>
        <w:t xml:space="preserve">DA EXTINÇÃO CONTRATUAL  </w:t>
      </w:r>
    </w:p>
    <w:p w:rsidR="00014D61" w:rsidRDefault="00501EAB">
      <w:pPr>
        <w:ind w:left="792" w:right="0" w:hanging="432"/>
      </w:pPr>
      <w:r>
        <w:t xml:space="preserve">5.1. A contratação será extinta quando cumpridas as obrigações de ambas </w:t>
      </w:r>
      <w:r>
        <w:t xml:space="preserve">as partes, ainda que isso ocorra antes do prazo estipulado para tanto.  </w:t>
      </w:r>
    </w:p>
    <w:p w:rsidR="00014D61" w:rsidRDefault="00501EAB">
      <w:pPr>
        <w:ind w:left="792" w:right="0" w:hanging="432"/>
      </w:pPr>
      <w:r>
        <w:t>5.2. Se as obrigações não forem cumpridas no prazo estipulado, a vigência ficará prorrogada até a conclusão do objeto, caso em que deverá a Administração providenciar a readequação do</w:t>
      </w:r>
      <w:r>
        <w:t xml:space="preserve"> cronograma fixado para a contratação.  </w:t>
      </w:r>
    </w:p>
    <w:p w:rsidR="00014D61" w:rsidRDefault="00501EAB">
      <w:pPr>
        <w:ind w:left="370" w:right="0" w:hanging="10"/>
      </w:pPr>
      <w:r>
        <w:t xml:space="preserve">5.3. Quando a não conclusão do objeto referida no item anterior decorrer de culpa do Contratado:  </w:t>
      </w:r>
    </w:p>
    <w:p w:rsidR="00014D61" w:rsidRDefault="00501EAB">
      <w:pPr>
        <w:ind w:left="715" w:right="0" w:hanging="10"/>
      </w:pPr>
      <w:r>
        <w:t xml:space="preserve">5.3.1. ficará ele constituído em mora, sendo-lhe aplicáveis as respectivas sanções administrativas; e  </w:t>
      </w:r>
    </w:p>
    <w:p w:rsidR="00014D61" w:rsidRDefault="00501EAB">
      <w:pPr>
        <w:ind w:left="1219" w:right="0"/>
      </w:pPr>
      <w:r>
        <w:t xml:space="preserve">5.3.2. poderá a Administração optar pela extinção contratual e, nesse caso, adotará as medidas admitidas em lei para a continuidade da execução contratual.  </w:t>
      </w:r>
    </w:p>
    <w:p w:rsidR="00014D61" w:rsidRDefault="00501EAB">
      <w:pPr>
        <w:pStyle w:val="Ttulo1"/>
        <w:ind w:left="259" w:hanging="221"/>
      </w:pPr>
      <w:r>
        <w:t xml:space="preserve">DOS CASOS OMISSOS  </w:t>
      </w:r>
    </w:p>
    <w:p w:rsidR="00014D61" w:rsidRDefault="00501EAB">
      <w:pPr>
        <w:ind w:left="792" w:right="0" w:hanging="432"/>
      </w:pPr>
      <w:r>
        <w:t>6.1. Os casos omissos serão decididos pelo Contratante, segundo as disposições</w:t>
      </w:r>
      <w:r>
        <w:t xml:space="preserve"> contidas na Lei nº 14.133, de 2021, e demais normas federais aplicáveis e, subsidiariamente, segundo as disposições contidas na </w:t>
      </w:r>
      <w:hyperlink r:id="rId5">
        <w:r>
          <w:t>Lei nº 8.078, de 1990</w:t>
        </w:r>
      </w:hyperlink>
      <w:hyperlink r:id="rId6">
        <w:r>
          <w:t xml:space="preserve"> </w:t>
        </w:r>
      </w:hyperlink>
      <w:hyperlink r:id="rId7">
        <w:r>
          <w:t>–</w:t>
        </w:r>
      </w:hyperlink>
      <w:hyperlink r:id="rId8">
        <w:r>
          <w:t xml:space="preserve"> </w:t>
        </w:r>
      </w:hyperlink>
      <w:hyperlink r:id="rId9">
        <w:r>
          <w:t xml:space="preserve">Código de Defesa do </w:t>
        </w:r>
      </w:hyperlink>
      <w:hyperlink r:id="rId10">
        <w:r>
          <w:t>Consumido</w:t>
        </w:r>
      </w:hyperlink>
      <w:hyperlink r:id="rId11">
        <w:r>
          <w:t>r</w:t>
        </w:r>
      </w:hyperlink>
      <w:hyperlink r:id="rId12">
        <w:r>
          <w:t xml:space="preserve"> –</w:t>
        </w:r>
      </w:hyperlink>
      <w:r>
        <w:t xml:space="preserve"> e normas e princípios gerais dos contratos.  </w:t>
      </w:r>
    </w:p>
    <w:p w:rsidR="00014D61" w:rsidRDefault="00501EAB">
      <w:pPr>
        <w:pStyle w:val="Ttulo1"/>
        <w:ind w:left="263" w:hanging="225"/>
      </w:pPr>
      <w:r>
        <w:lastRenderedPageBreak/>
        <w:t xml:space="preserve">ALTERAÇÕES  </w:t>
      </w:r>
    </w:p>
    <w:p w:rsidR="00014D61" w:rsidRDefault="00501EAB">
      <w:pPr>
        <w:spacing w:after="15"/>
        <w:ind w:left="370" w:right="0" w:hanging="10"/>
      </w:pPr>
      <w:r>
        <w:t xml:space="preserve">7.1. Eventuais alterações contratuais reger-se-ão pela disciplina dos </w:t>
      </w:r>
      <w:proofErr w:type="spellStart"/>
      <w:r>
        <w:t>arts</w:t>
      </w:r>
      <w:proofErr w:type="spellEnd"/>
      <w:r>
        <w:t xml:space="preserve">. 124 e seguintes da Lei nº  </w:t>
      </w:r>
    </w:p>
    <w:p w:rsidR="00014D61" w:rsidRDefault="00501EAB">
      <w:pPr>
        <w:ind w:left="705" w:right="0" w:firstLine="0"/>
      </w:pPr>
      <w:r>
        <w:t xml:space="preserve">14.133, de 2021.  </w:t>
      </w:r>
    </w:p>
    <w:p w:rsidR="00014D61" w:rsidRDefault="00501EAB">
      <w:pPr>
        <w:ind w:left="792" w:right="0" w:hanging="432"/>
      </w:pPr>
      <w:r>
        <w:t>7.2. O C</w:t>
      </w:r>
      <w:r>
        <w:t xml:space="preserve">ontratado é obrigado a aceitar, nas mesmas condições contratuais, os acréscimos ou supressões que se fizerem necessários, até o limite de 25% (vinte e cinco por cento) do valor inicial atualizado da contratação.  </w:t>
      </w:r>
    </w:p>
    <w:p w:rsidR="00014D61" w:rsidRDefault="00501EAB">
      <w:pPr>
        <w:ind w:left="792" w:right="0" w:hanging="432"/>
      </w:pPr>
      <w:r>
        <w:t>7.3. As supressões resultantes de acordo c</w:t>
      </w:r>
      <w:r>
        <w:t xml:space="preserve">elebrado entre as partes contratantes poderão exceder o limite de 25% (vinte e cinco por cento) do valor inicial atualizado do contrato.  </w:t>
      </w:r>
    </w:p>
    <w:p w:rsidR="00014D61" w:rsidRDefault="00501EAB">
      <w:pPr>
        <w:ind w:left="792" w:right="0" w:hanging="432"/>
      </w:pPr>
      <w:r>
        <w:t>7.4. As alterações contratuais deverão ser promovidas mediante celebração de termo aditivo, submetido à prévia aprova</w:t>
      </w:r>
      <w:r>
        <w:t xml:space="preserve">ção da consultoria jurídica do Contratante, salvo nos casos de justificada necessidade de antecipação de seus efeitos, hipótese em que a formalização do aditivo deverá ocorrer no prazo máximo de 1 (um) mês.  </w:t>
      </w:r>
    </w:p>
    <w:p w:rsidR="00014D61" w:rsidRDefault="00501EAB">
      <w:pPr>
        <w:ind w:left="792" w:right="0" w:hanging="432"/>
      </w:pPr>
      <w:r>
        <w:t xml:space="preserve">7.5. Registros que não caracterizam alterações </w:t>
      </w:r>
      <w:r>
        <w:t xml:space="preserve">contratuais podem ser realizados por simples apostila, dispensada a celebração de termo aditivo, na forma do art. 136 da Lei nº 14.133, de 2021.  </w:t>
      </w:r>
    </w:p>
    <w:p w:rsidR="00014D61" w:rsidRDefault="00501EAB">
      <w:pPr>
        <w:pStyle w:val="Ttulo1"/>
        <w:ind w:left="259" w:hanging="221"/>
      </w:pPr>
      <w:r>
        <w:t xml:space="preserve">FORO  </w:t>
      </w:r>
    </w:p>
    <w:p w:rsidR="00014D61" w:rsidRDefault="00501EAB">
      <w:pPr>
        <w:spacing w:after="71" w:line="241" w:lineRule="auto"/>
        <w:ind w:left="-15" w:right="0" w:firstLine="0"/>
        <w:jc w:val="left"/>
      </w:pPr>
      <w:r>
        <w:t>8.1. Fica definido o Foro da Justiça Federal em Natal, Seção Judiciária do Rio Grande do Norte para di</w:t>
      </w:r>
      <w:r>
        <w:t>rimir os litígios que decorrerem da execução contratual que não puderem ser compostos pela conciliação, conforme art. 92, §1º, da Lei nº 14.133, de 2021.</w:t>
      </w:r>
      <w:r>
        <w:rPr>
          <w:rFonts w:ascii="Calibri" w:eastAsia="Calibri" w:hAnsi="Calibri" w:cs="Calibri"/>
          <w:sz w:val="22"/>
        </w:rPr>
        <w:t xml:space="preserve"> </w:t>
      </w:r>
    </w:p>
    <w:sectPr w:rsidR="00014D61">
      <w:pgSz w:w="11906" w:h="16838"/>
      <w:pgMar w:top="1423" w:right="1699" w:bottom="145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346E9"/>
    <w:multiLevelType w:val="hybridMultilevel"/>
    <w:tmpl w:val="30A0B1A4"/>
    <w:lvl w:ilvl="0" w:tplc="92A64CF0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EE9148">
      <w:start w:val="1"/>
      <w:numFmt w:val="lowerLetter"/>
      <w:lvlText w:val="%2"/>
      <w:lvlJc w:val="left"/>
      <w:pPr>
        <w:ind w:left="11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5E5698">
      <w:start w:val="1"/>
      <w:numFmt w:val="lowerRoman"/>
      <w:lvlText w:val="%3"/>
      <w:lvlJc w:val="left"/>
      <w:pPr>
        <w:ind w:left="18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E24300">
      <w:start w:val="1"/>
      <w:numFmt w:val="decimal"/>
      <w:lvlText w:val="%4"/>
      <w:lvlJc w:val="left"/>
      <w:pPr>
        <w:ind w:left="25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C46E14">
      <w:start w:val="1"/>
      <w:numFmt w:val="lowerLetter"/>
      <w:lvlText w:val="%5"/>
      <w:lvlJc w:val="left"/>
      <w:pPr>
        <w:ind w:left="32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467844">
      <w:start w:val="1"/>
      <w:numFmt w:val="lowerRoman"/>
      <w:lvlText w:val="%6"/>
      <w:lvlJc w:val="left"/>
      <w:pPr>
        <w:ind w:left="39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80270E">
      <w:start w:val="1"/>
      <w:numFmt w:val="decimal"/>
      <w:lvlText w:val="%7"/>
      <w:lvlJc w:val="left"/>
      <w:pPr>
        <w:ind w:left="47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880F4E">
      <w:start w:val="1"/>
      <w:numFmt w:val="lowerLetter"/>
      <w:lvlText w:val="%8"/>
      <w:lvlJc w:val="left"/>
      <w:pPr>
        <w:ind w:left="54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58309A">
      <w:start w:val="1"/>
      <w:numFmt w:val="lowerRoman"/>
      <w:lvlText w:val="%9"/>
      <w:lvlJc w:val="left"/>
      <w:pPr>
        <w:ind w:left="61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D61"/>
    <w:rsid w:val="00014D61"/>
    <w:rsid w:val="0050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B9B756-2633-4E61-A4E5-419F07C5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9" w:line="265" w:lineRule="auto"/>
      <w:ind w:left="874" w:right="6" w:hanging="514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141"/>
      <w:ind w:left="362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alto.gov.br/ccivil_03/leis/l8078compilado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lanalto.gov.br/ccivil_03/leis/l8078compilado.htm" TargetMode="External"/><Relationship Id="rId12" Type="http://schemas.openxmlformats.org/officeDocument/2006/relationships/hyperlink" Target="https://www.planalto.gov.br/ccivil_03/leis/l8078compilado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analto.gov.br/ccivil_03/leis/l8078compilado.htm" TargetMode="External"/><Relationship Id="rId11" Type="http://schemas.openxmlformats.org/officeDocument/2006/relationships/hyperlink" Target="https://www.planalto.gov.br/ccivil_03/leis/l8078compilado.htm" TargetMode="External"/><Relationship Id="rId5" Type="http://schemas.openxmlformats.org/officeDocument/2006/relationships/hyperlink" Target="https://www.planalto.gov.br/ccivil_03/leis/l8078compilado.htm" TargetMode="External"/><Relationship Id="rId10" Type="http://schemas.openxmlformats.org/officeDocument/2006/relationships/hyperlink" Target="https://www.planalto.gov.br/ccivil_03/leis/l8078compilado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lanalto.gov.br/ccivil_03/leis/l8078compila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1669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IFRN</Company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Ives Bruno de Lima Silva</dc:creator>
  <cp:keywords/>
  <cp:lastModifiedBy>Ives Bruno de Lima Silva</cp:lastModifiedBy>
  <cp:revision>2</cp:revision>
  <dcterms:created xsi:type="dcterms:W3CDTF">2025-09-12T11:27:00Z</dcterms:created>
  <dcterms:modified xsi:type="dcterms:W3CDTF">2025-09-12T11:27:00Z</dcterms:modified>
</cp:coreProperties>
</file>