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V.12 3 P/CLARINETE SIb CX C/10 CR193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R$ 470,87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JAVA RED CUT 3 P/SAX ALTO CX C/10 SR263R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R$ 455,97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V16 3 P/SAX TENOR CX C/5 SR723 VANDOREN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R$ 323,46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