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2.0 CSPC 1310</w:t>
            </w:r>
          </w:p>
        </w:tc>
        <w:tc>
          <w:tcPr>
            <w:tcW w:type="dxa" w:w="2835"/>
          </w:tcPr>
          <w:p>
            <w:r>
              <w:t>Caixa Som Caixa Som Potência: 10W, Voltagem: Usb 5v Ou Dc 5v.V, Aplicação: Sala De Aula, Características Adicionais: Especificações Alto Falante: 2x2.Conexão: Usb E P2, Resposta Freqüência: 200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R$ 217,95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FORTREK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Cabo de Rede CAT5e 305m Fortrek FK500C CMX Preto - CX / 305</w:t>
            </w:r>
          </w:p>
        </w:tc>
        <w:tc>
          <w:tcPr>
            <w:tcW w:type="dxa" w:w="2835"/>
          </w:tcPr>
          <w:p>
            <w:r>
              <w:t>Cabo Rede Computador Cabo Rede Computador Tipo Cabo: Patch Cord, Padrão Cabeamento: Om4, Características Adicionais: Duplex Om4 Lc-Upc/Lc- Upc, Aplicação: Rede De Informática, Referência Fabricante: Furukawa - 35201020, Comprimento: 20M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R$ 749,55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R$ 3.747,74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R$ 3.965,68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