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Standard Br - Dji050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R$ 2.293,47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R$ 4.586,94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R$ 1.831,41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800VA 7Ah Bivolt Ups Compact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R$ 801,54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R$ 1.603,07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CONTRABAIXO ELÉTRICO PRECISION BASS (4 CORDAS) - BM608N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R$ 1.203,80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R$ 1.203,80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MS-8.4 EUX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R$ 1.773,27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R$ 1.773,27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TRATN 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R$ 26,33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TRATN 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R$ 26,33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TRATN 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R$ 26,33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R$ 11.077,49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