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AGOGÔ COM BAQUETA DUPLO - CROMADO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R$ 210,36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R$ 6.310,79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COM-4115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R$ 2.770,83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R$ 2.770,83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GANZÁ PEQUENO SIMPLES - 22CM x 5,1CM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R$ 4.010,89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CB-230K-PT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R$ 761,94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R$ 761,94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REBOLO 12 POL X 50 CM ALUMINIO CONICO C/ PELE NAPA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R$ 642,68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R$ 32.133,83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 25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R$ 62,97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R$ 1.889,24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R$ 47.877,53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