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E3" w:rsidRPr="005A115F" w:rsidRDefault="0020018A" w:rsidP="00180F37">
      <w:pPr>
        <w:pStyle w:val="Heading1"/>
      </w:pPr>
      <w:bookmarkStart w:id="0" w:name="_GoBack"/>
      <w:bookmarkEnd w:id="0"/>
      <w:r>
        <w:t xml:space="preserve">PhD </w:t>
      </w:r>
      <w:r w:rsidR="00BA5E35" w:rsidRPr="00A3445C">
        <w:t>Second Y</w:t>
      </w:r>
      <w:r w:rsidR="00210B40" w:rsidRPr="00A3445C">
        <w:t xml:space="preserve">ear </w:t>
      </w:r>
      <w:r w:rsidR="00BA5E35" w:rsidRPr="00A3445C">
        <w:t>P</w:t>
      </w:r>
      <w:r w:rsidR="00210B40" w:rsidRPr="00A3445C">
        <w:t>aper</w:t>
      </w:r>
      <w:r>
        <w:t xml:space="preserve"> – R</w:t>
      </w:r>
      <w:r w:rsidR="00BA5E35" w:rsidRPr="00A3445C">
        <w:t>esearch P</w:t>
      </w:r>
      <w:r w:rsidR="00210B40" w:rsidRPr="00A3445C">
        <w:t>roposal</w:t>
      </w:r>
    </w:p>
    <w:p w:rsidR="00210B40" w:rsidRDefault="00665A76" w:rsidP="00180F37">
      <w:pPr>
        <w:pStyle w:val="Heading3"/>
      </w:pPr>
      <w:r>
        <w:t xml:space="preserve">Research </w:t>
      </w:r>
      <w:r w:rsidR="00BA5E35" w:rsidRPr="00A3445C">
        <w:t>Q</w:t>
      </w:r>
      <w:r w:rsidR="00210B40" w:rsidRPr="00A3445C">
        <w:t>uestion</w:t>
      </w:r>
      <w:r w:rsidR="0020018A">
        <w:t>s</w:t>
      </w:r>
    </w:p>
    <w:p w:rsidR="00A3445C" w:rsidRDefault="00A3445C" w:rsidP="00180F37">
      <w:r>
        <w:t xml:space="preserve">What is the role of firms’ </w:t>
      </w:r>
      <w:r w:rsidR="002D065E">
        <w:t>Environmental</w:t>
      </w:r>
      <w:r>
        <w:t>,</w:t>
      </w:r>
      <w:r w:rsidR="002D065E">
        <w:t xml:space="preserve"> Social and Go</w:t>
      </w:r>
      <w:r>
        <w:t xml:space="preserve">vernance (ESG) characteristics in explaining </w:t>
      </w:r>
      <w:r w:rsidR="00665A76">
        <w:t>the portfolio</w:t>
      </w:r>
      <w:r>
        <w:t xml:space="preserve"> holdings of large institutional investors?</w:t>
      </w:r>
    </w:p>
    <w:p w:rsidR="00665A76" w:rsidRDefault="00665A76" w:rsidP="0020018A">
      <w:r>
        <w:t>How h</w:t>
      </w:r>
      <w:r w:rsidR="00A3445C">
        <w:t>as demand for such characteristics changed over time</w:t>
      </w:r>
      <w:r>
        <w:t xml:space="preserve"> and across investors?</w:t>
      </w:r>
    </w:p>
    <w:p w:rsidR="0020018A" w:rsidRDefault="00665A76" w:rsidP="0020018A">
      <w:r>
        <w:t>What are the effects on equity valuations of a change in investors’ demand?</w:t>
      </w:r>
    </w:p>
    <w:p w:rsidR="00A3445C" w:rsidRDefault="00A3445C" w:rsidP="00180F37">
      <w:pPr>
        <w:pStyle w:val="Heading3"/>
      </w:pPr>
      <w:r>
        <w:t>Motivation</w:t>
      </w:r>
    </w:p>
    <w:p w:rsidR="00FC4DA8" w:rsidRDefault="00931E6D" w:rsidP="00180F37">
      <w:r>
        <w:t>The ESG acronym has become increasingly</w:t>
      </w:r>
      <w:r w:rsidR="000C4451">
        <w:t xml:space="preserve"> popular in the financial industry and media.  In particular, large asset managers advocate for a “</w:t>
      </w:r>
      <w:r w:rsidR="000C4451" w:rsidRPr="000C4451">
        <w:t>fundamental reshaping of finance</w:t>
      </w:r>
      <w:r w:rsidR="000C4451">
        <w:t>”</w:t>
      </w:r>
      <w:r>
        <w:t>, and foresee “</w:t>
      </w:r>
      <w:r w:rsidRPr="00931E6D">
        <w:t>a significant reallocation of capital</w:t>
      </w:r>
      <w:r>
        <w:t>”</w:t>
      </w:r>
      <w:r w:rsidR="000C4451">
        <w:rPr>
          <w:rStyle w:val="FootnoteReference"/>
        </w:rPr>
        <w:footnoteReference w:id="1"/>
      </w:r>
      <w:r>
        <w:t>.</w:t>
      </w:r>
      <w:r w:rsidR="00FC4DA8">
        <w:t xml:space="preserve">  </w:t>
      </w:r>
      <w:r w:rsidR="00A70048">
        <w:t>In point of fact, there exists no consensus on the effects of a widespread incorporation of ESG considerations in investment decisions.</w:t>
      </w:r>
    </w:p>
    <w:p w:rsidR="00A70048" w:rsidRPr="00A3445C" w:rsidRDefault="00A70048" w:rsidP="00180F37">
      <w:r>
        <w:t>Most of the academic literature has focused on the impact of ESG on excess returns and cost of capital, finding mixed evidence.</w:t>
      </w:r>
      <w:r w:rsidR="00FC4DA8">
        <w:t xml:space="preserve"> </w:t>
      </w:r>
      <w:r w:rsidR="001C255F">
        <w:t>Few studies have delved into whether there has truly been a shift in investors’ demand, and its implications for asset prices. This is the objective of my work.</w:t>
      </w:r>
    </w:p>
    <w:p w:rsidR="00210B40" w:rsidRDefault="00BA5E35" w:rsidP="00180F37">
      <w:pPr>
        <w:pStyle w:val="Heading3"/>
      </w:pPr>
      <w:r>
        <w:t xml:space="preserve">Main </w:t>
      </w:r>
      <w:r w:rsidR="00210B40">
        <w:t>Related Literature</w:t>
      </w:r>
    </w:p>
    <w:p w:rsidR="00BA5E35" w:rsidRDefault="00240E51" w:rsidP="00180F37">
      <w:pPr>
        <w:pStyle w:val="ListParagraph"/>
        <w:numPr>
          <w:ilvl w:val="0"/>
          <w:numId w:val="1"/>
        </w:numPr>
      </w:pPr>
      <w:r>
        <w:t>Data and Methodology</w:t>
      </w:r>
      <w:r>
        <w:br/>
      </w:r>
      <w:proofErr w:type="spellStart"/>
      <w:r>
        <w:t>K</w:t>
      </w:r>
      <w:r w:rsidR="00561D87">
        <w:t>oijen</w:t>
      </w:r>
      <w:proofErr w:type="spellEnd"/>
      <w:r w:rsidR="00561D87">
        <w:t xml:space="preserve"> and </w:t>
      </w:r>
      <w:proofErr w:type="spellStart"/>
      <w:r w:rsidR="00561D87">
        <w:t>Yogo</w:t>
      </w:r>
      <w:proofErr w:type="spellEnd"/>
      <w:r w:rsidR="00561D87">
        <w:t xml:space="preserve"> (2019)</w:t>
      </w:r>
      <w:r w:rsidR="00BA5E35">
        <w:t xml:space="preserve"> and </w:t>
      </w:r>
      <w:proofErr w:type="spellStart"/>
      <w:r w:rsidR="00BA5E35">
        <w:t>Koijen</w:t>
      </w:r>
      <w:proofErr w:type="spellEnd"/>
      <w:r w:rsidR="00BA5E35">
        <w:t xml:space="preserve">, Richmond and </w:t>
      </w:r>
      <w:proofErr w:type="spellStart"/>
      <w:r w:rsidR="00BA5E35">
        <w:t>Yogo</w:t>
      </w:r>
      <w:proofErr w:type="spellEnd"/>
      <w:r w:rsidR="00BA5E35">
        <w:t xml:space="preserve"> (2020)</w:t>
      </w:r>
      <w:r w:rsidR="003B28E3">
        <w:t>.</w:t>
      </w:r>
    </w:p>
    <w:p w:rsidR="00BA5E35" w:rsidRDefault="00561D87" w:rsidP="00180F37">
      <w:pPr>
        <w:pStyle w:val="ListParagraph"/>
        <w:numPr>
          <w:ilvl w:val="0"/>
          <w:numId w:val="1"/>
        </w:numPr>
      </w:pPr>
      <w:r>
        <w:t>Theory on ESG asset pricing</w:t>
      </w:r>
      <w:proofErr w:type="gramStart"/>
      <w:r>
        <w:t>:</w:t>
      </w:r>
      <w:proofErr w:type="gramEnd"/>
      <w:r w:rsidR="00240E51">
        <w:br/>
      </w:r>
      <w:r w:rsidR="00BA5E35">
        <w:t xml:space="preserve">Pastor, </w:t>
      </w:r>
      <w:proofErr w:type="spellStart"/>
      <w:r w:rsidR="00BA5E35">
        <w:t>Stambaugh</w:t>
      </w:r>
      <w:proofErr w:type="spellEnd"/>
      <w:r w:rsidR="00BA5E35">
        <w:t xml:space="preserve"> and Taylor</w:t>
      </w:r>
      <w:r>
        <w:t xml:space="preserve"> (2020), Pedersen Fitzgibbons and </w:t>
      </w:r>
      <w:proofErr w:type="spellStart"/>
      <w:r>
        <w:t>Pomorski</w:t>
      </w:r>
      <w:proofErr w:type="spellEnd"/>
      <w:r>
        <w:t xml:space="preserve"> (2019)</w:t>
      </w:r>
      <w:r w:rsidR="003B28E3">
        <w:t>.</w:t>
      </w:r>
    </w:p>
    <w:p w:rsidR="00D47A48" w:rsidRPr="00BA5E35" w:rsidRDefault="009E7D5C" w:rsidP="00180F37">
      <w:pPr>
        <w:pStyle w:val="ListParagraph"/>
        <w:numPr>
          <w:ilvl w:val="0"/>
          <w:numId w:val="1"/>
        </w:numPr>
      </w:pPr>
      <w:r>
        <w:t>Empirical work on ESG</w:t>
      </w:r>
      <w:r w:rsidR="00EC6C14">
        <w:t xml:space="preserve"> and stock returns</w:t>
      </w:r>
      <w:proofErr w:type="gramStart"/>
      <w:r w:rsidR="00D47A48">
        <w:t>:</w:t>
      </w:r>
      <w:proofErr w:type="gramEnd"/>
      <w:r w:rsidR="00240E51">
        <w:br/>
      </w:r>
      <w:r>
        <w:t xml:space="preserve">Hong and </w:t>
      </w:r>
      <w:proofErr w:type="spellStart"/>
      <w:r>
        <w:t>Kacperczyk</w:t>
      </w:r>
      <w:proofErr w:type="spellEnd"/>
      <w:r>
        <w:t xml:space="preserve"> (2009)</w:t>
      </w:r>
      <w:r w:rsidR="00240E51">
        <w:t xml:space="preserve">, Edmans (2011), Kruger (2011), </w:t>
      </w:r>
      <w:proofErr w:type="spellStart"/>
      <w:r w:rsidR="00240E51">
        <w:t>Lins</w:t>
      </w:r>
      <w:proofErr w:type="spellEnd"/>
      <w:r w:rsidR="00240E51">
        <w:t xml:space="preserve"> </w:t>
      </w:r>
      <w:proofErr w:type="spellStart"/>
      <w:r w:rsidR="00240E51">
        <w:t>Servaes</w:t>
      </w:r>
      <w:proofErr w:type="spellEnd"/>
      <w:r w:rsidR="00240E51">
        <w:t xml:space="preserve"> and Tamayo (2017)</w:t>
      </w:r>
      <w:r w:rsidR="005A115F">
        <w:t>.</w:t>
      </w:r>
    </w:p>
    <w:p w:rsidR="00210B40" w:rsidRDefault="00210B40" w:rsidP="00180F37">
      <w:pPr>
        <w:pStyle w:val="Heading3"/>
      </w:pPr>
      <w:r>
        <w:t>Data</w:t>
      </w:r>
    </w:p>
    <w:p w:rsidR="005A115F" w:rsidRDefault="005A115F" w:rsidP="00101663">
      <w:pPr>
        <w:pStyle w:val="ListParagraph"/>
        <w:numPr>
          <w:ilvl w:val="0"/>
          <w:numId w:val="2"/>
        </w:numPr>
        <w:ind w:left="720"/>
      </w:pPr>
      <w:r>
        <w:t>SEC 13F Institutional Investors quarterly holdings data</w:t>
      </w:r>
      <w:r w:rsidR="004B2944">
        <w:t>. These data cover holdings of institutions with at least $100 million AUM, are limited to equities, and exclude short positions</w:t>
      </w:r>
      <w:r w:rsidR="005D3C8B">
        <w:t>.</w:t>
      </w:r>
    </w:p>
    <w:p w:rsidR="00210B40" w:rsidRDefault="00EC6C14" w:rsidP="00101663">
      <w:pPr>
        <w:pStyle w:val="ListParagraph"/>
        <w:numPr>
          <w:ilvl w:val="0"/>
          <w:numId w:val="2"/>
        </w:numPr>
        <w:ind w:left="720"/>
      </w:pPr>
      <w:r>
        <w:t xml:space="preserve">Firm-level ESG scores by </w:t>
      </w:r>
      <w:r w:rsidR="005A115F">
        <w:t xml:space="preserve">Thomson Reuters, accessible through </w:t>
      </w:r>
      <w:proofErr w:type="spellStart"/>
      <w:r w:rsidR="005A115F" w:rsidRPr="005A115F">
        <w:rPr>
          <w:i/>
        </w:rPr>
        <w:t>Datastream</w:t>
      </w:r>
      <w:proofErr w:type="spellEnd"/>
      <w:r>
        <w:t xml:space="preserve"> (or other available if any)</w:t>
      </w:r>
      <w:r w:rsidR="005D3C8B">
        <w:t>.</w:t>
      </w:r>
    </w:p>
    <w:p w:rsidR="005A115F" w:rsidRDefault="005A115F" w:rsidP="00101663">
      <w:pPr>
        <w:pStyle w:val="ListParagraph"/>
        <w:numPr>
          <w:ilvl w:val="0"/>
          <w:numId w:val="2"/>
        </w:numPr>
        <w:ind w:left="720"/>
      </w:pPr>
      <w:proofErr w:type="spellStart"/>
      <w:r w:rsidRPr="005A115F">
        <w:rPr>
          <w:i/>
        </w:rPr>
        <w:t>Compustat</w:t>
      </w:r>
      <w:proofErr w:type="spellEnd"/>
      <w:r>
        <w:t xml:space="preserve"> and </w:t>
      </w:r>
      <w:r w:rsidRPr="005A115F">
        <w:rPr>
          <w:i/>
        </w:rPr>
        <w:t>CRSP</w:t>
      </w:r>
      <w:r w:rsidR="005D3C8B">
        <w:t xml:space="preserve"> firm-level data.</w:t>
      </w:r>
    </w:p>
    <w:p w:rsidR="005A115F" w:rsidRDefault="005A115F" w:rsidP="00101663">
      <w:pPr>
        <w:pStyle w:val="ListParagraph"/>
        <w:numPr>
          <w:ilvl w:val="0"/>
          <w:numId w:val="2"/>
        </w:numPr>
        <w:ind w:left="720"/>
      </w:pPr>
      <w:r w:rsidRPr="005A115F">
        <w:rPr>
          <w:i/>
        </w:rPr>
        <w:t>Morningstar</w:t>
      </w:r>
      <w:r>
        <w:t xml:space="preserve"> sustainability ratings for mutual </w:t>
      </w:r>
      <w:r w:rsidR="00462D5F">
        <w:t>funds</w:t>
      </w:r>
      <w:r w:rsidR="00EC6C14">
        <w:t>, if available</w:t>
      </w:r>
      <w:r w:rsidR="00462D5F">
        <w:t>.</w:t>
      </w:r>
    </w:p>
    <w:p w:rsidR="005A115F" w:rsidRDefault="00E365C6" w:rsidP="00180F37">
      <w:pPr>
        <w:pStyle w:val="Heading3"/>
      </w:pPr>
      <w:r>
        <w:t xml:space="preserve">Roadmap and </w:t>
      </w:r>
      <w:r w:rsidR="005A115F">
        <w:t>Methodology</w:t>
      </w:r>
    </w:p>
    <w:p w:rsidR="00180F37" w:rsidRPr="00180F37" w:rsidRDefault="00E365C6" w:rsidP="00180F37">
      <w:r>
        <w:t>The first part of the work will be to gather, clean and merge the data on holdings and firm-level characteristics.</w:t>
      </w:r>
    </w:p>
    <w:p w:rsidR="00180F37" w:rsidRDefault="00E365C6" w:rsidP="00180F37">
      <w:r>
        <w:t xml:space="preserve">Then, I will present descriptive evidence on </w:t>
      </w:r>
      <w:r w:rsidR="004B2944">
        <w:t>holdings</w:t>
      </w:r>
      <w:r w:rsidR="00493328">
        <w:t xml:space="preserve">. I want to </w:t>
      </w:r>
      <w:r w:rsidR="00900F88">
        <w:t>study whether</w:t>
      </w:r>
      <w:r w:rsidR="00493328">
        <w:t xml:space="preserve"> and how the appetite for “good” stocks has changed over time across investors. </w:t>
      </w:r>
      <w:r w:rsidR="0087700D">
        <w:t>Stocks will be defined as “good” based on ESG scores or on categories id</w:t>
      </w:r>
      <w:r w:rsidR="00180F37">
        <w:t xml:space="preserve">entified in the literature (e.g. </w:t>
      </w:r>
      <w:r w:rsidR="0087700D">
        <w:t>f</w:t>
      </w:r>
      <w:r w:rsidR="00180F37">
        <w:t>ossil fuel and</w:t>
      </w:r>
      <w:r w:rsidR="0087700D">
        <w:t xml:space="preserve"> “sin stocks</w:t>
      </w:r>
      <w:r w:rsidR="00180F37">
        <w:t>” as tobacco and gambling</w:t>
      </w:r>
      <w:r w:rsidR="0087700D">
        <w:t>)</w:t>
      </w:r>
      <w:r w:rsidR="00180F37">
        <w:t>.</w:t>
      </w:r>
    </w:p>
    <w:p w:rsidR="0087700D" w:rsidRDefault="0087700D" w:rsidP="00180F37">
      <w:r>
        <w:t>Finally</w:t>
      </w:r>
      <w:r w:rsidR="00900F88">
        <w:t>,</w:t>
      </w:r>
      <w:r>
        <w:t xml:space="preserve"> I will estimate a demand system à la </w:t>
      </w:r>
      <w:proofErr w:type="spellStart"/>
      <w:r>
        <w:t>Kojen</w:t>
      </w:r>
      <w:proofErr w:type="spellEnd"/>
      <w:r>
        <w:t xml:space="preserve"> and </w:t>
      </w:r>
      <w:proofErr w:type="spellStart"/>
      <w:r>
        <w:t>Yogo</w:t>
      </w:r>
      <w:proofErr w:type="spellEnd"/>
      <w:r>
        <w:t xml:space="preserve"> (2019)</w:t>
      </w:r>
      <w:r w:rsidR="00451065">
        <w:t xml:space="preserve">. This will </w:t>
      </w:r>
      <w:r w:rsidR="00900F88">
        <w:t xml:space="preserve">provide demand curves for </w:t>
      </w:r>
      <w:r w:rsidR="00451065">
        <w:t>different types of investors, to study how the sensitivity to ESG changed over time</w:t>
      </w:r>
      <w:r w:rsidR="00462D5F">
        <w:t xml:space="preserve">. </w:t>
      </w:r>
      <w:r w:rsidR="00FC4DA8">
        <w:t xml:space="preserve">In addition, the </w:t>
      </w:r>
      <w:r w:rsidR="00462D5F">
        <w:t xml:space="preserve">methodology will allow me to estimate the implications of a </w:t>
      </w:r>
      <w:r w:rsidR="00FC4DA8">
        <w:t xml:space="preserve">demand </w:t>
      </w:r>
      <w:r w:rsidR="00462D5F">
        <w:t>shift to ESG for equity valuations and returns.</w:t>
      </w:r>
    </w:p>
    <w:sdt>
      <w:sdtPr>
        <w:rPr>
          <w:rFonts w:ascii="Book Antiqua" w:eastAsiaTheme="minorHAnsi" w:hAnsi="Book Antiqua" w:cstheme="minorBidi"/>
          <w:color w:val="auto"/>
          <w:sz w:val="22"/>
          <w:szCs w:val="22"/>
        </w:rPr>
        <w:id w:val="-263376949"/>
        <w:docPartObj>
          <w:docPartGallery w:val="Bibliographies"/>
          <w:docPartUnique/>
        </w:docPartObj>
      </w:sdtPr>
      <w:sdtEndPr/>
      <w:sdtContent>
        <w:p w:rsidR="00561D87" w:rsidRDefault="00561D87" w:rsidP="00180F37">
          <w:pPr>
            <w:pStyle w:val="Heading2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FC4DA8" w:rsidRDefault="00561D87" w:rsidP="00FC4DA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C4DA8">
                <w:rPr>
                  <w:noProof/>
                </w:rPr>
                <w:t xml:space="preserve">Edmans, A. (2011). Does the stock market fully value intangibles? Employee satisfaction and equity prices. </w:t>
              </w:r>
              <w:r w:rsidR="00FC4DA8">
                <w:rPr>
                  <w:i/>
                  <w:iCs/>
                  <w:noProof/>
                </w:rPr>
                <w:t>Journal of Financial economics, 101</w:t>
              </w:r>
              <w:r w:rsidR="00FC4DA8">
                <w:rPr>
                  <w:noProof/>
                </w:rPr>
                <w:t>, 621–640.</w:t>
              </w:r>
            </w:p>
            <w:p w:rsidR="00FC4DA8" w:rsidRDefault="00FC4DA8" w:rsidP="00FC4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Hong, H., &amp; Kacperczyk, M. (2009). The price of sin: The effects of social norms on markets. </w:t>
              </w:r>
              <w:r>
                <w:rPr>
                  <w:i/>
                  <w:iCs/>
                  <w:noProof/>
                </w:rPr>
                <w:t>Journal of Financial Economics, 93</w:t>
              </w:r>
              <w:r>
                <w:rPr>
                  <w:noProof/>
                </w:rPr>
                <w:t>, 15–36.</w:t>
              </w:r>
            </w:p>
            <w:p w:rsidR="00FC4DA8" w:rsidRDefault="00FC4DA8" w:rsidP="00FC4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Koijen, R. S., &amp; Yogo, M. (2019). A demand system approach to asset pricing. </w:t>
              </w:r>
              <w:r>
                <w:rPr>
                  <w:i/>
                  <w:iCs/>
                  <w:noProof/>
                </w:rPr>
                <w:t>Journal of Political Economy, 127</w:t>
              </w:r>
              <w:r>
                <w:rPr>
                  <w:noProof/>
                </w:rPr>
                <w:t>, 1475–1515.</w:t>
              </w:r>
            </w:p>
            <w:p w:rsidR="00FC4DA8" w:rsidRDefault="00FC4DA8" w:rsidP="00FC4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Koijen, R. S., Richmond, R. J., &amp; Yogo, M. (2020). Which Investors Matter for Equity Valuations and Expected Returns? </w:t>
              </w:r>
              <w:r>
                <w:rPr>
                  <w:i/>
                  <w:iCs/>
                  <w:noProof/>
                </w:rPr>
                <w:t>NBER Working Paper</w:t>
              </w:r>
              <w:r>
                <w:rPr>
                  <w:noProof/>
                </w:rPr>
                <w:t>.</w:t>
              </w:r>
            </w:p>
            <w:p w:rsidR="00FC4DA8" w:rsidRDefault="00FC4DA8" w:rsidP="00FC4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Krüger, P. (2015). Corporate goodness and shareholder wealth. </w:t>
              </w:r>
              <w:r>
                <w:rPr>
                  <w:i/>
                  <w:iCs/>
                  <w:noProof/>
                </w:rPr>
                <w:t>Journal of financial economics, 115</w:t>
              </w:r>
              <w:r>
                <w:rPr>
                  <w:noProof/>
                </w:rPr>
                <w:t>, 304–329.</w:t>
              </w:r>
            </w:p>
            <w:p w:rsidR="00FC4DA8" w:rsidRDefault="00FC4DA8" w:rsidP="00FC4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Lins, K. V., Servaes, H., &amp; Tamayo, A. (2017). Social capital, trust, and firm performance: The value of corporate social responsibility during the financial crisis. </w:t>
              </w:r>
              <w:r>
                <w:rPr>
                  <w:i/>
                  <w:iCs/>
                  <w:noProof/>
                </w:rPr>
                <w:t>The Journal of Finance, 72</w:t>
              </w:r>
              <w:r>
                <w:rPr>
                  <w:noProof/>
                </w:rPr>
                <w:t>, 1785–1824.</w:t>
              </w:r>
            </w:p>
            <w:p w:rsidR="00FC4DA8" w:rsidRDefault="00FC4DA8" w:rsidP="00FC4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Pastor, L., Stambaugh, R. F., &amp; Taylor, L. A. (2020). Sustainable Investing in Equilibrium. </w:t>
              </w:r>
              <w:r>
                <w:rPr>
                  <w:i/>
                  <w:iCs/>
                  <w:noProof/>
                </w:rPr>
                <w:t>NBER Working Paper</w:t>
              </w:r>
              <w:r>
                <w:rPr>
                  <w:noProof/>
                </w:rPr>
                <w:t>.</w:t>
              </w:r>
            </w:p>
            <w:p w:rsidR="00FC4DA8" w:rsidRDefault="00FC4DA8" w:rsidP="00FC4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Pedersen, L. H., Fitzgibbons, S., &amp; Pomorski, L. (2019). Responsible investing: The ESG-efficient frontier. </w:t>
              </w:r>
              <w:r>
                <w:rPr>
                  <w:i/>
                  <w:iCs/>
                  <w:noProof/>
                </w:rPr>
                <w:t>Available at SSRN 3466417</w:t>
              </w:r>
              <w:r>
                <w:rPr>
                  <w:noProof/>
                </w:rPr>
                <w:t>.</w:t>
              </w:r>
            </w:p>
            <w:p w:rsidR="00561D87" w:rsidRDefault="00561D87" w:rsidP="00FC4DA8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61D87" w:rsidSect="005A115F">
      <w:headerReference w:type="default" r:id="rId8"/>
      <w:footerReference w:type="default" r:id="rId9"/>
      <w:pgSz w:w="12240" w:h="15840" w:code="1"/>
      <w:pgMar w:top="1152" w:right="864" w:bottom="720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750" w:rsidRDefault="004D0750" w:rsidP="00180F37">
      <w:r>
        <w:separator/>
      </w:r>
    </w:p>
  </w:endnote>
  <w:endnote w:type="continuationSeparator" w:id="0">
    <w:p w:rsidR="004D0750" w:rsidRDefault="004D0750" w:rsidP="0018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6189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15F" w:rsidRDefault="005A115F" w:rsidP="00200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0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750" w:rsidRDefault="004D0750" w:rsidP="00180F37">
      <w:r>
        <w:separator/>
      </w:r>
    </w:p>
  </w:footnote>
  <w:footnote w:type="continuationSeparator" w:id="0">
    <w:p w:rsidR="004D0750" w:rsidRDefault="004D0750" w:rsidP="00180F37">
      <w:r>
        <w:continuationSeparator/>
      </w:r>
    </w:p>
  </w:footnote>
  <w:footnote w:id="1">
    <w:p w:rsidR="000C4451" w:rsidRDefault="000C4451" w:rsidP="00180F37">
      <w:pPr>
        <w:pStyle w:val="FootnoteText"/>
      </w:pPr>
      <w:r>
        <w:rPr>
          <w:rStyle w:val="FootnoteReference"/>
        </w:rPr>
        <w:footnoteRef/>
      </w:r>
      <w:r>
        <w:t>Black</w:t>
      </w:r>
      <w:r w:rsidR="00A70048">
        <w:t>R</w:t>
      </w:r>
      <w:r>
        <w:t>ock CEO Larry Fink</w:t>
      </w:r>
      <w:r w:rsidR="00931E6D">
        <w:t xml:space="preserve"> 2020</w:t>
      </w:r>
      <w:r>
        <w:t xml:space="preserve"> </w:t>
      </w:r>
      <w:hyperlink r:id="rId1" w:history="1">
        <w:r w:rsidRPr="000C4451">
          <w:rPr>
            <w:rStyle w:val="Hyperlink"/>
          </w:rPr>
          <w:t>letter</w:t>
        </w:r>
      </w:hyperlink>
      <w:r>
        <w:t xml:space="preserve"> to CEO’s</w:t>
      </w:r>
      <w:r w:rsidR="00931E6D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65E" w:rsidRPr="00DF65DA" w:rsidRDefault="00BA5E35" w:rsidP="00180F37">
    <w:pPr>
      <w:pStyle w:val="Header"/>
      <w:rPr>
        <w:color w:val="808080" w:themeColor="background1" w:themeShade="80"/>
      </w:rPr>
    </w:pPr>
    <w:r w:rsidRPr="00DF65DA">
      <w:rPr>
        <w:color w:val="808080" w:themeColor="background1" w:themeShade="80"/>
      </w:rPr>
      <w:t>Pietro Reggiani</w:t>
    </w:r>
    <w:r w:rsidRPr="00DF65DA">
      <w:rPr>
        <w:color w:val="808080" w:themeColor="background1" w:themeShade="80"/>
      </w:rPr>
      <w:tab/>
    </w:r>
    <w:r w:rsidRPr="00DF65DA">
      <w:rPr>
        <w:color w:val="808080" w:themeColor="background1" w:themeShade="80"/>
      </w:rPr>
      <w:tab/>
    </w:r>
    <w:r w:rsidR="002D065E" w:rsidRPr="00DF65DA">
      <w:rPr>
        <w:color w:val="808080" w:themeColor="background1" w:themeShade="80"/>
      </w:rPr>
      <w:fldChar w:fldCharType="begin"/>
    </w:r>
    <w:r w:rsidR="002D065E" w:rsidRPr="00DF65DA">
      <w:rPr>
        <w:color w:val="808080" w:themeColor="background1" w:themeShade="80"/>
      </w:rPr>
      <w:instrText xml:space="preserve"> DATE \@ "MMMM d, yyyy" </w:instrText>
    </w:r>
    <w:r w:rsidR="002D065E" w:rsidRPr="00DF65DA">
      <w:rPr>
        <w:color w:val="808080" w:themeColor="background1" w:themeShade="80"/>
      </w:rPr>
      <w:fldChar w:fldCharType="separate"/>
    </w:r>
    <w:r w:rsidR="000E703D">
      <w:rPr>
        <w:noProof/>
        <w:color w:val="808080" w:themeColor="background1" w:themeShade="80"/>
      </w:rPr>
      <w:t>July 20, 2020</w:t>
    </w:r>
    <w:r w:rsidR="002D065E" w:rsidRPr="00DF65DA">
      <w:rPr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302CC"/>
    <w:multiLevelType w:val="hybridMultilevel"/>
    <w:tmpl w:val="FC7C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A18BD"/>
    <w:multiLevelType w:val="hybridMultilevel"/>
    <w:tmpl w:val="A38A8986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11"/>
    <w:rsid w:val="00002E50"/>
    <w:rsid w:val="00044D9F"/>
    <w:rsid w:val="0004704A"/>
    <w:rsid w:val="0005127A"/>
    <w:rsid w:val="000521E9"/>
    <w:rsid w:val="00067340"/>
    <w:rsid w:val="00091B6E"/>
    <w:rsid w:val="000943F0"/>
    <w:rsid w:val="0009484E"/>
    <w:rsid w:val="000A1448"/>
    <w:rsid w:val="000A1BD7"/>
    <w:rsid w:val="000B4E0C"/>
    <w:rsid w:val="000B6026"/>
    <w:rsid w:val="000B63B8"/>
    <w:rsid w:val="000C4451"/>
    <w:rsid w:val="000D3E63"/>
    <w:rsid w:val="000E0499"/>
    <w:rsid w:val="000E703D"/>
    <w:rsid w:val="000F0F5E"/>
    <w:rsid w:val="000F4927"/>
    <w:rsid w:val="000F75D6"/>
    <w:rsid w:val="00101663"/>
    <w:rsid w:val="001153E7"/>
    <w:rsid w:val="001179C3"/>
    <w:rsid w:val="00121BFF"/>
    <w:rsid w:val="00125329"/>
    <w:rsid w:val="001309A8"/>
    <w:rsid w:val="00140DD6"/>
    <w:rsid w:val="00156E37"/>
    <w:rsid w:val="0016636A"/>
    <w:rsid w:val="00174FAF"/>
    <w:rsid w:val="00180F37"/>
    <w:rsid w:val="00190512"/>
    <w:rsid w:val="001B1223"/>
    <w:rsid w:val="001C0B92"/>
    <w:rsid w:val="001C255F"/>
    <w:rsid w:val="001C3869"/>
    <w:rsid w:val="001C7771"/>
    <w:rsid w:val="001E34A4"/>
    <w:rsid w:val="001E6BE4"/>
    <w:rsid w:val="001F6850"/>
    <w:rsid w:val="0020018A"/>
    <w:rsid w:val="00204BC7"/>
    <w:rsid w:val="00210B40"/>
    <w:rsid w:val="00223C46"/>
    <w:rsid w:val="002346D2"/>
    <w:rsid w:val="0023730A"/>
    <w:rsid w:val="00240E51"/>
    <w:rsid w:val="00251AEF"/>
    <w:rsid w:val="0025202B"/>
    <w:rsid w:val="002569BB"/>
    <w:rsid w:val="00257B24"/>
    <w:rsid w:val="002672E5"/>
    <w:rsid w:val="00272E5D"/>
    <w:rsid w:val="002940F0"/>
    <w:rsid w:val="00294868"/>
    <w:rsid w:val="00296CB2"/>
    <w:rsid w:val="00297191"/>
    <w:rsid w:val="002A4F57"/>
    <w:rsid w:val="002B2D4F"/>
    <w:rsid w:val="002D065E"/>
    <w:rsid w:val="002D1084"/>
    <w:rsid w:val="002D5C43"/>
    <w:rsid w:val="002E6A1F"/>
    <w:rsid w:val="003013CB"/>
    <w:rsid w:val="003136B6"/>
    <w:rsid w:val="003136D9"/>
    <w:rsid w:val="00326342"/>
    <w:rsid w:val="003407A9"/>
    <w:rsid w:val="003420A0"/>
    <w:rsid w:val="0036652D"/>
    <w:rsid w:val="00373596"/>
    <w:rsid w:val="00390562"/>
    <w:rsid w:val="00390B68"/>
    <w:rsid w:val="00391090"/>
    <w:rsid w:val="0039180C"/>
    <w:rsid w:val="003B28E3"/>
    <w:rsid w:val="003B4BAB"/>
    <w:rsid w:val="003C10B6"/>
    <w:rsid w:val="003C45FD"/>
    <w:rsid w:val="003D2A7F"/>
    <w:rsid w:val="003D3EB7"/>
    <w:rsid w:val="003F5E4D"/>
    <w:rsid w:val="003F68E2"/>
    <w:rsid w:val="00401557"/>
    <w:rsid w:val="00405CE4"/>
    <w:rsid w:val="004105BA"/>
    <w:rsid w:val="00424BAD"/>
    <w:rsid w:val="004271FE"/>
    <w:rsid w:val="004332A9"/>
    <w:rsid w:val="00437156"/>
    <w:rsid w:val="004379D6"/>
    <w:rsid w:val="0044766D"/>
    <w:rsid w:val="00451065"/>
    <w:rsid w:val="0045239E"/>
    <w:rsid w:val="00462D5F"/>
    <w:rsid w:val="00477357"/>
    <w:rsid w:val="004815E8"/>
    <w:rsid w:val="00485C87"/>
    <w:rsid w:val="00492155"/>
    <w:rsid w:val="00493328"/>
    <w:rsid w:val="004B2944"/>
    <w:rsid w:val="004B32EC"/>
    <w:rsid w:val="004D0750"/>
    <w:rsid w:val="004D76D9"/>
    <w:rsid w:val="004F0155"/>
    <w:rsid w:val="004F6548"/>
    <w:rsid w:val="005035A4"/>
    <w:rsid w:val="00507676"/>
    <w:rsid w:val="00510FCD"/>
    <w:rsid w:val="00515EC6"/>
    <w:rsid w:val="00520E58"/>
    <w:rsid w:val="00527158"/>
    <w:rsid w:val="00533C45"/>
    <w:rsid w:val="00535C10"/>
    <w:rsid w:val="00535F51"/>
    <w:rsid w:val="005379E0"/>
    <w:rsid w:val="00552CED"/>
    <w:rsid w:val="00561D87"/>
    <w:rsid w:val="00567E1F"/>
    <w:rsid w:val="00583209"/>
    <w:rsid w:val="00595AF4"/>
    <w:rsid w:val="005A115F"/>
    <w:rsid w:val="005A3B48"/>
    <w:rsid w:val="005B5D98"/>
    <w:rsid w:val="005C1E51"/>
    <w:rsid w:val="005C3D69"/>
    <w:rsid w:val="005D3043"/>
    <w:rsid w:val="005D3C8B"/>
    <w:rsid w:val="005D3FA9"/>
    <w:rsid w:val="005D54B6"/>
    <w:rsid w:val="005E2F0C"/>
    <w:rsid w:val="00601708"/>
    <w:rsid w:val="00610635"/>
    <w:rsid w:val="006153DF"/>
    <w:rsid w:val="006339AE"/>
    <w:rsid w:val="006348F2"/>
    <w:rsid w:val="00634CCE"/>
    <w:rsid w:val="006355F7"/>
    <w:rsid w:val="006362EF"/>
    <w:rsid w:val="00656E87"/>
    <w:rsid w:val="006609F6"/>
    <w:rsid w:val="00661DA0"/>
    <w:rsid w:val="00665A76"/>
    <w:rsid w:val="00671434"/>
    <w:rsid w:val="00672112"/>
    <w:rsid w:val="00685410"/>
    <w:rsid w:val="006E3BE7"/>
    <w:rsid w:val="006E44D3"/>
    <w:rsid w:val="006F1AC9"/>
    <w:rsid w:val="006F66BB"/>
    <w:rsid w:val="00732C35"/>
    <w:rsid w:val="00734B4F"/>
    <w:rsid w:val="00740106"/>
    <w:rsid w:val="00743FAF"/>
    <w:rsid w:val="00754316"/>
    <w:rsid w:val="007663B3"/>
    <w:rsid w:val="007736BE"/>
    <w:rsid w:val="007859B8"/>
    <w:rsid w:val="00786976"/>
    <w:rsid w:val="007A25F0"/>
    <w:rsid w:val="007B4EE8"/>
    <w:rsid w:val="007C63BE"/>
    <w:rsid w:val="007C7EB3"/>
    <w:rsid w:val="007D3227"/>
    <w:rsid w:val="007D4657"/>
    <w:rsid w:val="007F2CD6"/>
    <w:rsid w:val="007F4490"/>
    <w:rsid w:val="008178E2"/>
    <w:rsid w:val="008201AC"/>
    <w:rsid w:val="00844C9D"/>
    <w:rsid w:val="00844DE0"/>
    <w:rsid w:val="008501B1"/>
    <w:rsid w:val="00875BD6"/>
    <w:rsid w:val="0087700D"/>
    <w:rsid w:val="008831D0"/>
    <w:rsid w:val="00885469"/>
    <w:rsid w:val="008A615A"/>
    <w:rsid w:val="008B4C9B"/>
    <w:rsid w:val="008C4B41"/>
    <w:rsid w:val="008D1D4D"/>
    <w:rsid w:val="008D7A14"/>
    <w:rsid w:val="008E6247"/>
    <w:rsid w:val="00900F88"/>
    <w:rsid w:val="00904029"/>
    <w:rsid w:val="00905D28"/>
    <w:rsid w:val="0091323B"/>
    <w:rsid w:val="009134DB"/>
    <w:rsid w:val="009252CE"/>
    <w:rsid w:val="00926240"/>
    <w:rsid w:val="00931E6D"/>
    <w:rsid w:val="00933681"/>
    <w:rsid w:val="00942821"/>
    <w:rsid w:val="00942B0F"/>
    <w:rsid w:val="00990150"/>
    <w:rsid w:val="009957FC"/>
    <w:rsid w:val="009B411E"/>
    <w:rsid w:val="009B5B8A"/>
    <w:rsid w:val="009C4E42"/>
    <w:rsid w:val="009D1891"/>
    <w:rsid w:val="009D3527"/>
    <w:rsid w:val="009E661C"/>
    <w:rsid w:val="009E7D5C"/>
    <w:rsid w:val="009F38AB"/>
    <w:rsid w:val="00A03A20"/>
    <w:rsid w:val="00A11262"/>
    <w:rsid w:val="00A25B54"/>
    <w:rsid w:val="00A306AC"/>
    <w:rsid w:val="00A3445C"/>
    <w:rsid w:val="00A4003C"/>
    <w:rsid w:val="00A421D2"/>
    <w:rsid w:val="00A54420"/>
    <w:rsid w:val="00A70048"/>
    <w:rsid w:val="00A70172"/>
    <w:rsid w:val="00A87D5E"/>
    <w:rsid w:val="00AB111B"/>
    <w:rsid w:val="00AC0DDA"/>
    <w:rsid w:val="00AC5043"/>
    <w:rsid w:val="00AC7806"/>
    <w:rsid w:val="00AD0FC9"/>
    <w:rsid w:val="00AD4A0C"/>
    <w:rsid w:val="00AE4794"/>
    <w:rsid w:val="00AE5AA8"/>
    <w:rsid w:val="00B11284"/>
    <w:rsid w:val="00B15A4E"/>
    <w:rsid w:val="00B177B1"/>
    <w:rsid w:val="00B240A0"/>
    <w:rsid w:val="00B3126C"/>
    <w:rsid w:val="00B37B85"/>
    <w:rsid w:val="00B45A44"/>
    <w:rsid w:val="00B5122F"/>
    <w:rsid w:val="00B557DC"/>
    <w:rsid w:val="00B624AD"/>
    <w:rsid w:val="00B83375"/>
    <w:rsid w:val="00B916ED"/>
    <w:rsid w:val="00B93BE3"/>
    <w:rsid w:val="00B9501E"/>
    <w:rsid w:val="00B96628"/>
    <w:rsid w:val="00BA5E35"/>
    <w:rsid w:val="00BC2639"/>
    <w:rsid w:val="00BC7B80"/>
    <w:rsid w:val="00BD6EB9"/>
    <w:rsid w:val="00BF3615"/>
    <w:rsid w:val="00C568A5"/>
    <w:rsid w:val="00C63E94"/>
    <w:rsid w:val="00C71923"/>
    <w:rsid w:val="00C8301F"/>
    <w:rsid w:val="00CA7A07"/>
    <w:rsid w:val="00CB2C88"/>
    <w:rsid w:val="00CD16B4"/>
    <w:rsid w:val="00CF420C"/>
    <w:rsid w:val="00D008BE"/>
    <w:rsid w:val="00D14ABE"/>
    <w:rsid w:val="00D14FF2"/>
    <w:rsid w:val="00D15F84"/>
    <w:rsid w:val="00D231FE"/>
    <w:rsid w:val="00D406E9"/>
    <w:rsid w:val="00D46376"/>
    <w:rsid w:val="00D47A48"/>
    <w:rsid w:val="00D51A03"/>
    <w:rsid w:val="00D563E4"/>
    <w:rsid w:val="00D659A6"/>
    <w:rsid w:val="00D91D23"/>
    <w:rsid w:val="00D939FB"/>
    <w:rsid w:val="00D94D6D"/>
    <w:rsid w:val="00D973C8"/>
    <w:rsid w:val="00DA1D44"/>
    <w:rsid w:val="00DA303E"/>
    <w:rsid w:val="00DC1893"/>
    <w:rsid w:val="00DD0E40"/>
    <w:rsid w:val="00DE0DD7"/>
    <w:rsid w:val="00DF65DA"/>
    <w:rsid w:val="00E04910"/>
    <w:rsid w:val="00E23AB8"/>
    <w:rsid w:val="00E3188C"/>
    <w:rsid w:val="00E365C6"/>
    <w:rsid w:val="00E43348"/>
    <w:rsid w:val="00E50131"/>
    <w:rsid w:val="00E57BB2"/>
    <w:rsid w:val="00E61699"/>
    <w:rsid w:val="00E64E83"/>
    <w:rsid w:val="00E655ED"/>
    <w:rsid w:val="00E82DA9"/>
    <w:rsid w:val="00E85A76"/>
    <w:rsid w:val="00E904E0"/>
    <w:rsid w:val="00E91BF5"/>
    <w:rsid w:val="00E97D6E"/>
    <w:rsid w:val="00EB621B"/>
    <w:rsid w:val="00EC2905"/>
    <w:rsid w:val="00EC6C14"/>
    <w:rsid w:val="00EC6DBD"/>
    <w:rsid w:val="00EC7D67"/>
    <w:rsid w:val="00ED3C0B"/>
    <w:rsid w:val="00ED3E12"/>
    <w:rsid w:val="00ED6F07"/>
    <w:rsid w:val="00EE31ED"/>
    <w:rsid w:val="00EE3D03"/>
    <w:rsid w:val="00EF0B0C"/>
    <w:rsid w:val="00F03BB0"/>
    <w:rsid w:val="00F07801"/>
    <w:rsid w:val="00F07B11"/>
    <w:rsid w:val="00F15D12"/>
    <w:rsid w:val="00F1667A"/>
    <w:rsid w:val="00F1738C"/>
    <w:rsid w:val="00F17AC0"/>
    <w:rsid w:val="00F25FD2"/>
    <w:rsid w:val="00F32FDE"/>
    <w:rsid w:val="00F358BE"/>
    <w:rsid w:val="00F63AA7"/>
    <w:rsid w:val="00F73B11"/>
    <w:rsid w:val="00F902A1"/>
    <w:rsid w:val="00F94EEE"/>
    <w:rsid w:val="00FA020B"/>
    <w:rsid w:val="00FB4C94"/>
    <w:rsid w:val="00FB5F60"/>
    <w:rsid w:val="00FC4DA8"/>
    <w:rsid w:val="00FD2E3D"/>
    <w:rsid w:val="00FD6123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C98BE-A918-4B6D-BB66-82C91907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F37"/>
    <w:pPr>
      <w:spacing w:after="80"/>
      <w:ind w:firstLine="432"/>
    </w:pPr>
    <w:rPr>
      <w:rFonts w:ascii="Book Antiqua" w:hAnsi="Book Antiqua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A115F"/>
    <w:pPr>
      <w:spacing w:after="120"/>
      <w:jc w:val="center"/>
      <w:outlineLvl w:val="0"/>
    </w:pPr>
    <w:rPr>
      <w:rFonts w:ascii="Book Antiqua" w:hAnsi="Book Antiqua"/>
      <w:b/>
      <w:color w:val="1F4E7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D87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00D"/>
    <w:pPr>
      <w:keepNext/>
      <w:keepLines/>
      <w:spacing w:before="40" w:after="60"/>
      <w:ind w:firstLine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B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40"/>
  </w:style>
  <w:style w:type="paragraph" w:styleId="Footer">
    <w:name w:val="footer"/>
    <w:basedOn w:val="Normal"/>
    <w:link w:val="FooterChar"/>
    <w:uiPriority w:val="99"/>
    <w:unhideWhenUsed/>
    <w:rsid w:val="00210B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40"/>
  </w:style>
  <w:style w:type="character" w:customStyle="1" w:styleId="Heading2Char">
    <w:name w:val="Heading 2 Char"/>
    <w:basedOn w:val="DefaultParagraphFont"/>
    <w:link w:val="Heading2"/>
    <w:uiPriority w:val="9"/>
    <w:rsid w:val="00561D87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A5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15F"/>
    <w:rPr>
      <w:rFonts w:ascii="Book Antiqua" w:eastAsiaTheme="majorEastAsia" w:hAnsi="Book Antiqua" w:cstheme="majorBidi"/>
      <w:b/>
      <w:color w:val="1F4E79" w:themeColor="accent1" w:themeShade="80"/>
      <w:sz w:val="28"/>
      <w:szCs w:val="26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61D87"/>
  </w:style>
  <w:style w:type="character" w:customStyle="1" w:styleId="Heading3Char">
    <w:name w:val="Heading 3 Char"/>
    <w:basedOn w:val="DefaultParagraphFont"/>
    <w:link w:val="Heading3"/>
    <w:uiPriority w:val="9"/>
    <w:rsid w:val="0087700D"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C44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C4451"/>
    <w:rPr>
      <w:rFonts w:ascii="Book Antiqua" w:hAnsi="Book Antiqu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C44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C44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ackrock.com/corporate/investor-relations/larry-fink-ceo-lett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Year>2020</b:Year>
    <b:BIBTEX_Entry>article</b:BIBTEX_Entry>
    <b:SourceType>JournalArticle</b:SourceType>
    <b:Title>Sustainable Investing in Equilibrium</b:Title>
    <b:Tag>pastor2020</b:Tag>
    <b:Author>
      <b:Author>
        <b:NameList>
          <b:Person>
            <b:Last>Pastor</b:Last>
            <b:First>Lubos</b:First>
          </b:Person>
          <b:Person>
            <b:Last>Stambaugh</b:Last>
            <b:Middle>F.</b:Middle>
            <b:First>Robert</b:First>
          </b:Person>
          <b:Person>
            <b:Last>Taylor</b:Last>
            <b:Middle>A.</b:Middle>
            <b:First>Lucian</b:First>
          </b:Person>
        </b:NameList>
      </b:Author>
    </b:Author>
    <b:JournalName>NBER Working Paper</b:JournalName>
    <b:RefOrder>1</b:RefOrder>
  </b:Source>
  <b:Source>
    <b:Year>2019</b:Year>
    <b:BIBTEX_Entry>article</b:BIBTEX_Entry>
    <b:SourceType>JournalArticle</b:SourceType>
    <b:Title>Responsible investing: The ESG-efficient frontier</b:Title>
    <b:Tag>pedersen2019</b:Tag>
    <b:Author>
      <b:Author>
        <b:NameList>
          <b:Person>
            <b:Last>Pedersen</b:Last>
            <b:Middle>Heje</b:Middle>
            <b:First>Lasse</b:First>
          </b:Person>
          <b:Person>
            <b:Last>Fitzgibbons</b:Last>
            <b:First>Shaun</b:First>
          </b:Person>
          <b:Person>
            <b:Last>Pomorski</b:Last>
            <b:First>Lukasz</b:First>
          </b:Person>
        </b:NameList>
      </b:Author>
    </b:Author>
    <b:JournalName>Available at SSRN 3466417</b:JournalName>
    <b:RefOrder>2</b:RefOrder>
  </b:Source>
  <b:Source>
    <b:Year>2020</b:Year>
    <b:BIBTEX_Entry>article</b:BIBTEX_Entry>
    <b:SourceType>JournalArticle</b:SourceType>
    <b:Title>Which Investors Matter for Equity Valuations and Expected Returns?</b:Title>
    <b:Tag>koijen2020</b:Tag>
    <b:Author>
      <b:Author>
        <b:NameList>
          <b:Person>
            <b:Last>Koijen</b:Last>
            <b:Middle>S. J.</b:Middle>
            <b:First>Ralph</b:First>
          </b:Person>
          <b:Person>
            <b:Last>Richmond</b:Last>
            <b:Middle>J.</b:Middle>
            <b:First>Robert</b:First>
          </b:Person>
          <b:Person>
            <b:Last>Yogo</b:Last>
            <b:First>Motohiro</b:First>
          </b:Person>
        </b:NameList>
      </b:Author>
    </b:Author>
    <b:JournalName>NBER Working Paper</b:JournalName>
    <b:RefOrder>3</b:RefOrder>
  </b:Source>
  <b:Source>
    <b:Year>2019</b:Year>
    <b:Volume>127</b:Volume>
    <b:BIBTEX_Entry>article</b:BIBTEX_Entry>
    <b:SourceType>JournalArticle</b:SourceType>
    <b:Title>A demand system approach to asset pricing</b:Title>
    <b:Tag>koijen2019</b:Tag>
    <b:Publisher>The University of Chicago Press Chicago, IL</b:Publisher>
    <b:Author>
      <b:Author>
        <b:NameList>
          <b:Person>
            <b:Last>Koijen</b:Last>
            <b:Middle>S. J.</b:Middle>
            <b:First>Ralph</b:First>
          </b:Person>
          <b:Person>
            <b:Last>Yogo</b:Last>
            <b:First>Motohiro</b:First>
          </b:Person>
        </b:NameList>
      </b:Author>
    </b:Author>
    <b:Pages>1475–1515</b:Pages>
    <b:JournalName>Journal of Political Economy</b:JournalName>
    <b:Number>4</b:Number>
    <b:RefOrder>4</b:RefOrder>
  </b:Source>
  <b:Source>
    <b:Year>2009</b:Year>
    <b:Volume>93</b:Volume>
    <b:BIBTEX_Entry>article</b:BIBTEX_Entry>
    <b:SourceType>JournalArticle</b:SourceType>
    <b:Title>The price of sin: The effects of social norms on markets</b:Title>
    <b:Tag>hong2009</b:Tag>
    <b:Publisher>Elsevier</b:Publisher>
    <b:Author>
      <b:Author>
        <b:NameList>
          <b:Person>
            <b:Last>Hong</b:Last>
            <b:First>Harrison</b:First>
          </b:Person>
          <b:Person>
            <b:Last>Kacperczyk</b:Last>
            <b:First>Marcin</b:First>
          </b:Person>
        </b:NameList>
      </b:Author>
    </b:Author>
    <b:Pages>15–36</b:Pages>
    <b:JournalName>Journal of Financial Economics</b:JournalName>
    <b:Number>1</b:Number>
    <b:RefOrder>5</b:RefOrder>
  </b:Source>
  <b:Source>
    <b:Year>2017</b:Year>
    <b:Volume>72</b:Volume>
    <b:BIBTEX_Entry>article</b:BIBTEX_Entry>
    <b:SourceType>JournalArticle</b:SourceType>
    <b:Title>Social capital, trust, and firm performance: The value of corporate social responsibility during the financial crisis</b:Title>
    <b:Tag>lins2017</b:Tag>
    <b:Publisher>Wiley Online Library</b:Publisher>
    <b:Author>
      <b:Author>
        <b:NameList>
          <b:Person>
            <b:Last>Lins</b:Last>
            <b:Middle>V.</b:Middle>
            <b:First>Karl</b:First>
          </b:Person>
          <b:Person>
            <b:Last>Servaes</b:Last>
            <b:First>Henri</b:First>
          </b:Person>
          <b:Person>
            <b:Last>Tamayo</b:Last>
            <b:First>Ane</b:First>
          </b:Person>
        </b:NameList>
      </b:Author>
    </b:Author>
    <b:Pages>1785–1824</b:Pages>
    <b:JournalName>The Journal of Finance</b:JournalName>
    <b:Number>4</b:Number>
    <b:RefOrder>6</b:RefOrder>
  </b:Source>
  <b:Source>
    <b:Year>2015</b:Year>
    <b:Volume>115</b:Volume>
    <b:BIBTEX_Entry>article</b:BIBTEX_Entry>
    <b:SourceType>JournalArticle</b:SourceType>
    <b:Title>Corporate goodness and shareholder wealth</b:Title>
    <b:Tag>kruger2015</b:Tag>
    <b:Publisher>Elsevier</b:Publisher>
    <b:Author>
      <b:Author>
        <b:NameList>
          <b:Person>
            <b:Last>Krüger</b:Last>
            <b:First>Philipp</b:First>
          </b:Person>
        </b:NameList>
      </b:Author>
    </b:Author>
    <b:Pages>304–329</b:Pages>
    <b:JournalName>Journal of financial economics</b:JournalName>
    <b:Number>2</b:Number>
    <b:RefOrder>7</b:RefOrder>
  </b:Source>
  <b:Source>
    <b:Year>2011</b:Year>
    <b:Volume>101</b:Volume>
    <b:BIBTEX_Entry>article</b:BIBTEX_Entry>
    <b:SourceType>JournalArticle</b:SourceType>
    <b:Title>Does the stock market fully value intangibles? Employee satisfaction and equity prices</b:Title>
    <b:Tag>edmans2011</b:Tag>
    <b:Publisher>Elsevier</b:Publisher>
    <b:Author>
      <b:Author>
        <b:NameList>
          <b:Person>
            <b:Last>Edmans</b:Last>
            <b:First>Alex</b:First>
          </b:Person>
        </b:NameList>
      </b:Author>
    </b:Author>
    <b:Pages>621–640</b:Pages>
    <b:JournalName>Journal of Financial economics</b:JournalName>
    <b:Number>3</b:Number>
    <b:RefOrder>8</b:RefOrder>
  </b:Source>
</b:Sources>
</file>

<file path=customXml/itemProps1.xml><?xml version="1.0" encoding="utf-8"?>
<ds:datastoreItem xmlns:ds="http://schemas.openxmlformats.org/officeDocument/2006/customXml" ds:itemID="{1E7A1C82-67AD-44AE-B4DD-2D71FA55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Reggiani</dc:creator>
  <cp:keywords/>
  <dc:description/>
  <cp:lastModifiedBy>Pietro Reggiani</cp:lastModifiedBy>
  <cp:revision>18</cp:revision>
  <cp:lastPrinted>2020-07-20T15:00:00Z</cp:lastPrinted>
  <dcterms:created xsi:type="dcterms:W3CDTF">2020-06-27T00:23:00Z</dcterms:created>
  <dcterms:modified xsi:type="dcterms:W3CDTF">2020-07-20T15:00:00Z</dcterms:modified>
</cp:coreProperties>
</file>