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Arial" w:cs="Arial" w:eastAsia="Arial" w:hAnsi="Arial"/>
          <w:b/>
          <w:bCs/>
          <w:sz w:val="24"/>
          <w:szCs w:val="24"/>
        </w:rPr>
        <w:t xml:space="preserve">SENAI GASPAR RICARDO JÚNIOR</w:t>
      </w:r>
    </w:p>
    <w:p>
      <w:pPr>
        <w:spacing w:after="0" w:before="0" w:line="360"/>
        <w:jc w:val="center"/>
      </w:pPr>
      <w:r>
        <w:rPr>
          <w:rFonts w:ascii="Arial" w:cs="Arial" w:eastAsia="Arial" w:hAnsi="Arial"/>
          <w:b/>
          <w:bCs/>
          <w:sz w:val="24"/>
          <w:szCs w:val="24"/>
        </w:rPr>
        <w:t xml:space="preserve">CURSO DE TECNOLOGIA EM ANÁLISE E DESENVOLVIMENTO DE SISTEMAS</w:t>
      </w:r>
    </w:p>
    <w:p>
      <w:pPr>
        <w:spacing w:after="0" w:before="0" w:line="360"/>
        <w:jc w:val="center"/>
      </w:pPr>
      <w:r>
        <w:rPr>
          <w:rFonts w:ascii="Arial" w:cs="Arial" w:eastAsia="Arial" w:hAnsi="Arial"/>
          <w:sz w:val="24"/>
          <w:szCs w:val="24"/>
        </w:rPr>
        <w:t xml:space="preserve"/>
      </w:r>
    </w:p>
    <w:p>
      <w:pPr>
        <w:spacing w:after="0" w:before="0" w:line="360"/>
        <w:jc w:val="center"/>
      </w:pPr>
      <w:r>
        <w:rPr>
          <w:rFonts w:ascii="Arial" w:cs="Arial" w:eastAsia="Arial" w:hAnsi="Arial"/>
          <w:sz w:val="24"/>
          <w:szCs w:val="24"/>
        </w:rPr>
        <w:t xml:space="preserve"/>
      </w:r>
    </w:p>
    <w:p>
      <w:pPr>
        <w:spacing w:after="0" w:before="0" w:line="360"/>
        <w:jc w:val="center"/>
      </w:pPr>
      <w:r>
        <w:rPr>
          <w:rFonts w:ascii="Arial" w:cs="Arial" w:eastAsia="Arial" w:hAnsi="Arial"/>
          <w:sz w:val="24"/>
          <w:szCs w:val="24"/>
        </w:rPr>
        <w:t xml:space="preserve"/>
      </w:r>
    </w:p>
    <w:p>
      <w:pPr>
        <w:spacing w:after="0" w:before="0" w:line="360"/>
        <w:jc w:val="center"/>
      </w:pPr>
      <w:r>
        <w:rPr>
          <w:rFonts w:ascii="Arial" w:cs="Arial" w:eastAsia="Arial" w:hAnsi="Arial"/>
          <w:sz w:val="24"/>
          <w:szCs w:val="24"/>
        </w:rPr>
        <w:t xml:space="preserve"/>
      </w:r>
    </w:p>
    <w:p>
      <w:pPr>
        <w:spacing w:after="0" w:before="0" w:line="360"/>
        <w:jc w:val="center"/>
      </w:pPr>
      <w:r>
        <w:rPr>
          <w:rFonts w:ascii="Arial" w:cs="Arial" w:eastAsia="Arial" w:hAnsi="Arial"/>
          <w:sz w:val="24"/>
          <w:szCs w:val="24"/>
        </w:rPr>
        <w:t xml:space="preserve"/>
      </w:r>
    </w:p>
    <w:p>
      <w:pPr>
        <w:spacing w:after="0" w:before="0" w:line="360"/>
        <w:jc w:val="center"/>
      </w:pPr>
      <w:r>
        <w:rPr>
          <w:rFonts w:ascii="Arial" w:cs="Arial" w:eastAsia="Arial" w:hAnsi="Arial"/>
          <w:sz w:val="24"/>
          <w:szCs w:val="24"/>
        </w:rPr>
        <w:t xml:space="preserve"/>
      </w:r>
    </w:p>
    <w:p>
      <w:pPr>
        <w:spacing w:after="0" w:before="0" w:line="360"/>
        <w:jc w:val="center"/>
      </w:pPr>
      <w:r>
        <w:rPr>
          <w:rFonts w:ascii="Arial" w:cs="Arial" w:eastAsia="Arial" w:hAnsi="Arial"/>
          <w:sz w:val="24"/>
          <w:szCs w:val="24"/>
        </w:rPr>
        <w:t xml:space="preserve"/>
      </w:r>
    </w:p>
    <w:p>
      <w:pPr>
        <w:spacing w:after="0" w:before="0" w:line="360"/>
        <w:jc w:val="center"/>
      </w:pPr>
      <w:r>
        <w:rPr>
          <w:rFonts w:ascii="Arial" w:cs="Arial" w:eastAsia="Arial" w:hAnsi="Arial"/>
          <w:sz w:val="24"/>
          <w:szCs w:val="24"/>
        </w:rPr>
        <w:t xml:space="preserve"/>
      </w:r>
    </w:p>
    <w:p>
      <w:pPr>
        <w:spacing w:after="0" w:before="0" w:line="360"/>
        <w:jc w:val="center"/>
      </w:pPr>
      <w:r>
        <w:rPr>
          <w:rFonts w:ascii="Arial" w:cs="Arial" w:eastAsia="Arial" w:hAnsi="Arial"/>
          <w:sz w:val="24"/>
          <w:szCs w:val="24"/>
        </w:rPr>
        <w:t xml:space="preserve"/>
      </w:r>
    </w:p>
    <w:p>
      <w:pPr>
        <w:spacing w:after="0" w:before="0" w:line="360"/>
        <w:jc w:val="center"/>
      </w:pPr>
      <w:r>
        <w:rPr>
          <w:rFonts w:ascii="Arial" w:cs="Arial" w:eastAsia="Arial" w:hAnsi="Arial"/>
          <w:sz w:val="24"/>
          <w:szCs w:val="24"/>
        </w:rPr>
        <w:t xml:space="preserve"/>
      </w:r>
    </w:p>
    <w:p>
      <w:pPr>
        <w:spacing w:after="0" w:before="0" w:line="360"/>
        <w:jc w:val="center"/>
      </w:pPr>
      <w:r>
        <w:rPr>
          <w:rFonts w:ascii="Arial" w:cs="Arial" w:eastAsia="Arial" w:hAnsi="Arial"/>
          <w:b/>
          <w:bCs/>
          <w:sz w:val="24"/>
          <w:szCs w:val="24"/>
        </w:rPr>
        <w:t xml:space="preserve">PIETRO FREIRE REZENDE DOS SANTOS</w:t>
      </w:r>
    </w:p>
    <w:p>
      <w:pPr>
        <w:spacing w:after="0" w:before="0" w:line="360"/>
        <w:jc w:val="center"/>
      </w:pPr>
      <w:r>
        <w:rPr>
          <w:rFonts w:ascii="Arial" w:cs="Arial" w:eastAsia="Arial" w:hAnsi="Arial"/>
          <w:sz w:val="24"/>
          <w:szCs w:val="24"/>
        </w:rPr>
        <w:t xml:space="preserve"/>
      </w:r>
    </w:p>
    <w:p>
      <w:pPr>
        <w:spacing w:after="0" w:before="0" w:line="360"/>
        <w:jc w:val="center"/>
      </w:pPr>
      <w:r>
        <w:rPr>
          <w:rFonts w:ascii="Arial" w:cs="Arial" w:eastAsia="Arial" w:hAnsi="Arial"/>
          <w:sz w:val="24"/>
          <w:szCs w:val="24"/>
        </w:rPr>
        <w:t xml:space="preserve"/>
      </w:r>
    </w:p>
    <w:p>
      <w:pPr>
        <w:spacing w:after="0" w:before="0" w:line="360"/>
        <w:jc w:val="center"/>
      </w:pPr>
      <w:r>
        <w:rPr>
          <w:rFonts w:ascii="Arial" w:cs="Arial" w:eastAsia="Arial" w:hAnsi="Arial"/>
          <w:sz w:val="24"/>
          <w:szCs w:val="24"/>
        </w:rPr>
        <w:t xml:space="preserve"/>
      </w:r>
    </w:p>
    <w:p>
      <w:pPr>
        <w:spacing w:after="0" w:before="0" w:line="360"/>
        <w:jc w:val="center"/>
      </w:pPr>
      <w:r>
        <w:rPr>
          <w:rFonts w:ascii="Arial" w:cs="Arial" w:eastAsia="Arial" w:hAnsi="Arial"/>
          <w:sz w:val="24"/>
          <w:szCs w:val="24"/>
        </w:rPr>
        <w:t xml:space="preserve"/>
      </w:r>
    </w:p>
    <w:p>
      <w:pPr>
        <w:spacing w:after="0" w:before="0" w:line="360"/>
        <w:jc w:val="center"/>
      </w:pPr>
      <w:r>
        <w:rPr>
          <w:rFonts w:ascii="Arial" w:cs="Arial" w:eastAsia="Arial" w:hAnsi="Arial"/>
          <w:sz w:val="24"/>
          <w:szCs w:val="24"/>
        </w:rPr>
        <w:t xml:space="preserve"/>
      </w:r>
    </w:p>
    <w:p>
      <w:pPr>
        <w:spacing w:after="0" w:before="0" w:line="360"/>
        <w:jc w:val="center"/>
      </w:pPr>
      <w:r>
        <w:rPr>
          <w:rFonts w:ascii="Arial" w:cs="Arial" w:eastAsia="Arial" w:hAnsi="Arial"/>
          <w:sz w:val="24"/>
          <w:szCs w:val="24"/>
        </w:rPr>
        <w:t xml:space="preserve"/>
      </w:r>
    </w:p>
    <w:p>
      <w:pPr>
        <w:spacing w:after="0" w:before="0" w:line="360"/>
        <w:jc w:val="center"/>
      </w:pPr>
      <w:r>
        <w:rPr>
          <w:rFonts w:ascii="Arial" w:cs="Arial" w:eastAsia="Arial" w:hAnsi="Arial"/>
          <w:sz w:val="24"/>
          <w:szCs w:val="24"/>
        </w:rPr>
        <w:t xml:space="preserve"/>
      </w:r>
    </w:p>
    <w:p>
      <w:pPr>
        <w:spacing w:after="0" w:before="0" w:line="360"/>
        <w:jc w:val="center"/>
      </w:pPr>
      <w:r>
        <w:rPr>
          <w:rFonts w:ascii="Arial" w:cs="Arial" w:eastAsia="Arial" w:hAnsi="Arial"/>
          <w:sz w:val="24"/>
          <w:szCs w:val="24"/>
        </w:rPr>
        <w:t xml:space="preserve"/>
      </w:r>
    </w:p>
    <w:p>
      <w:pPr>
        <w:spacing w:after="0" w:before="0" w:line="360"/>
        <w:jc w:val="center"/>
      </w:pPr>
      <w:r>
        <w:rPr>
          <w:rFonts w:ascii="Arial" w:cs="Arial" w:eastAsia="Arial" w:hAnsi="Arial"/>
          <w:sz w:val="24"/>
          <w:szCs w:val="24"/>
        </w:rPr>
        <w:t xml:space="preserve"/>
      </w:r>
    </w:p>
    <w:p>
      <w:pPr>
        <w:spacing w:after="0" w:before="0" w:line="360"/>
        <w:jc w:val="center"/>
      </w:pPr>
      <w:r>
        <w:rPr>
          <w:rFonts w:ascii="Arial" w:cs="Arial" w:eastAsia="Arial" w:hAnsi="Arial"/>
          <w:sz w:val="24"/>
          <w:szCs w:val="24"/>
        </w:rPr>
        <w:t xml:space="preserve"/>
      </w:r>
    </w:p>
    <w:p>
      <w:pPr>
        <w:spacing w:after="0" w:before="0" w:line="360"/>
        <w:jc w:val="center"/>
      </w:pPr>
      <w:r>
        <w:rPr>
          <w:rFonts w:ascii="Arial" w:cs="Arial" w:eastAsia="Arial" w:hAnsi="Arial"/>
          <w:b/>
          <w:bCs/>
          <w:sz w:val="24"/>
          <w:szCs w:val="24"/>
        </w:rPr>
        <w:t xml:space="preserve">AVALIAÇÃO DE DESEMPENHO DE BANCOS SQL E NOSQL PARA</w:t>
      </w:r>
    </w:p>
    <w:p>
      <w:pPr>
        <w:spacing w:after="0" w:before="0" w:line="360"/>
        <w:jc w:val="center"/>
      </w:pPr>
      <w:r>
        <w:rPr>
          <w:rFonts w:ascii="Arial" w:cs="Arial" w:eastAsia="Arial" w:hAnsi="Arial"/>
          <w:b/>
          <w:bCs/>
          <w:sz w:val="24"/>
          <w:szCs w:val="24"/>
        </w:rPr>
        <w:t xml:space="preserve">ARMAZENAMENTO DE DADOS DE SENSORES</w:t>
      </w:r>
    </w:p>
    <w:p>
      <w:pPr>
        <w:spacing w:after="0" w:before="0" w:line="360"/>
        <w:jc w:val="center"/>
      </w:pPr>
      <w:r>
        <w:rPr>
          <w:rFonts w:ascii="Arial" w:cs="Arial" w:eastAsia="Arial" w:hAnsi="Arial"/>
          <w:sz w:val="24"/>
          <w:szCs w:val="24"/>
        </w:rPr>
        <w:t xml:space="preserve"/>
      </w:r>
    </w:p>
    <w:p>
      <w:pPr>
        <w:spacing w:after="0" w:before="0" w:line="360"/>
        <w:jc w:val="center"/>
      </w:pPr>
      <w:r>
        <w:rPr>
          <w:rFonts w:ascii="Arial" w:cs="Arial" w:eastAsia="Arial" w:hAnsi="Arial"/>
          <w:sz w:val="24"/>
          <w:szCs w:val="24"/>
        </w:rPr>
        <w:t xml:space="preserve"/>
      </w:r>
    </w:p>
    <w:p>
      <w:pPr>
        <w:spacing w:after="0" w:before="0" w:line="360"/>
        <w:jc w:val="center"/>
      </w:pPr>
      <w:r>
        <w:rPr>
          <w:rFonts w:ascii="Arial" w:cs="Arial" w:eastAsia="Arial" w:hAnsi="Arial"/>
          <w:sz w:val="24"/>
          <w:szCs w:val="24"/>
        </w:rPr>
        <w:t xml:space="preserve"/>
      </w:r>
    </w:p>
    <w:p>
      <w:pPr>
        <w:spacing w:after="0" w:before="0" w:line="360"/>
        <w:jc w:val="center"/>
      </w:pPr>
      <w:r>
        <w:rPr>
          <w:rFonts w:ascii="Arial" w:cs="Arial" w:eastAsia="Arial" w:hAnsi="Arial"/>
          <w:sz w:val="24"/>
          <w:szCs w:val="24"/>
        </w:rPr>
        <w:t xml:space="preserve"/>
      </w:r>
    </w:p>
    <w:p>
      <w:pPr>
        <w:spacing w:after="0" w:before="0" w:line="360"/>
        <w:jc w:val="center"/>
      </w:pPr>
      <w:r>
        <w:rPr>
          <w:rFonts w:ascii="Arial" w:cs="Arial" w:eastAsia="Arial" w:hAnsi="Arial"/>
          <w:sz w:val="24"/>
          <w:szCs w:val="24"/>
        </w:rPr>
        <w:t xml:space="preserve"/>
      </w:r>
    </w:p>
    <w:p>
      <w:pPr>
        <w:spacing w:after="0" w:before="0" w:line="360"/>
        <w:jc w:val="center"/>
      </w:pPr>
      <w:r>
        <w:rPr>
          <w:rFonts w:ascii="Arial" w:cs="Arial" w:eastAsia="Arial" w:hAnsi="Arial"/>
          <w:sz w:val="24"/>
          <w:szCs w:val="24"/>
        </w:rPr>
        <w:t xml:space="preserve"/>
      </w:r>
    </w:p>
    <w:p>
      <w:pPr>
        <w:spacing w:after="0" w:before="0" w:line="360"/>
        <w:jc w:val="center"/>
      </w:pPr>
      <w:r>
        <w:rPr>
          <w:rFonts w:ascii="Arial" w:cs="Arial" w:eastAsia="Arial" w:hAnsi="Arial"/>
          <w:sz w:val="24"/>
          <w:szCs w:val="24"/>
        </w:rPr>
        <w:t xml:space="preserve"/>
      </w:r>
    </w:p>
    <w:p>
      <w:pPr>
        <w:spacing w:after="0" w:before="0" w:line="360"/>
        <w:jc w:val="center"/>
      </w:pPr>
      <w:r>
        <w:rPr>
          <w:rFonts w:ascii="Arial" w:cs="Arial" w:eastAsia="Arial" w:hAnsi="Arial"/>
          <w:sz w:val="24"/>
          <w:szCs w:val="24"/>
        </w:rPr>
        <w:t xml:space="preserve"/>
      </w:r>
    </w:p>
    <w:p>
      <w:pPr>
        <w:spacing w:after="0" w:before="0" w:line="360"/>
        <w:jc w:val="center"/>
      </w:pPr>
      <w:r>
        <w:rPr>
          <w:rFonts w:ascii="Arial" w:cs="Arial" w:eastAsia="Arial" w:hAnsi="Arial"/>
          <w:sz w:val="24"/>
          <w:szCs w:val="24"/>
        </w:rPr>
        <w:t xml:space="preserve"/>
      </w:r>
    </w:p>
    <w:p>
      <w:pPr>
        <w:spacing w:after="0" w:before="0" w:line="360"/>
        <w:jc w:val="center"/>
      </w:pPr>
      <w:r>
        <w:rPr>
          <w:rFonts w:ascii="Arial" w:cs="Arial" w:eastAsia="Arial" w:hAnsi="Arial"/>
          <w:sz w:val="24"/>
          <w:szCs w:val="24"/>
        </w:rPr>
        <w:t xml:space="preserve"/>
      </w:r>
    </w:p>
    <w:p>
      <w:pPr>
        <w:spacing w:after="0" w:before="0" w:line="360"/>
        <w:jc w:val="center"/>
      </w:pPr>
      <w:r>
        <w:rPr>
          <w:rFonts w:ascii="Arial" w:cs="Arial" w:eastAsia="Arial" w:hAnsi="Arial"/>
          <w:b/>
          <w:bCs/>
          <w:sz w:val="24"/>
          <w:szCs w:val="24"/>
        </w:rPr>
        <w:t xml:space="preserve">Sorocaba - SP</w:t>
      </w:r>
    </w:p>
    <w:p>
      <w:pPr>
        <w:spacing w:after="0" w:before="0" w:line="360"/>
        <w:jc w:val="center"/>
      </w:pPr>
      <w:r>
        <w:rPr>
          <w:rFonts w:ascii="Arial" w:cs="Arial" w:eastAsia="Arial" w:hAnsi="Arial"/>
          <w:b/>
          <w:bCs/>
          <w:sz w:val="24"/>
          <w:szCs w:val="24"/>
        </w:rPr>
        <w:t xml:space="preserve">2025</w:t>
      </w:r>
    </w:p>
    <w:p>
      <w:r>
        <w:br w:type="page"/>
      </w:r>
    </w:p>
    <w:p>
      <w:pPr>
        <w:pStyle w:val="Heading1"/>
        <w:spacing w:after="240" w:before="480" w:line="360"/>
        <w:jc w:val="left"/>
      </w:pPr>
      <w:r>
        <w:rPr>
          <w:rFonts w:ascii="Arial" w:cs="Arial" w:eastAsia="Arial" w:hAnsi="Arial"/>
          <w:b/>
          <w:bCs/>
          <w:sz w:val="24"/>
          <w:szCs w:val="24"/>
        </w:rPr>
        <w:t xml:space="preserve">1  INTRODUÇÃO</w:t>
      </w:r>
    </w:p>
    <w:p>
      <w:pPr>
        <w:spacing w:after="200" w:before="0" w:line="360"/>
        <w:ind w:firstLine="709"/>
        <w:jc w:val="both"/>
      </w:pPr>
      <w:r>
        <w:rPr>
          <w:rFonts w:ascii="Arial" w:cs="Arial" w:eastAsia="Arial" w:hAnsi="Arial"/>
          <w:b/>
          <w:bCs/>
          <w:sz w:val="24"/>
          <w:szCs w:val="24"/>
        </w:rPr>
        <w:t xml:space="preserve">A transformação digital tem impulsionado, nas últimas décadas, uma profunda reconfiguração dos sistemas computacionais em diversos setores da sociedade. Nesse contexto, a Internet das Coisas (IoT) emerge como um dos paradigmas tecnológicos mais relevantes da atualidade, caracterizando-se pela interconexão de dispositivos físicos capazes de coletar, transmitir e processar dados de maneira contínua e autônoma. Observa-se que a adoção crescente de sensores inteligentes em ambientes industriais, agrícolas, urbanos e de saúde tem gerado volumes expressivos de dados, exigindo soluções de armazenamento eficientes, escaláveis e adequadas às particularidades desse tipo de carga de trabalho.</w:t>
      </w:r>
    </w:p>
    <w:p>
      <w:pPr>
        <w:spacing w:after="200" w:before="0" w:line="360"/>
        <w:ind w:firstLine="709"/>
        <w:jc w:val="both"/>
      </w:pPr>
      <w:r>
        <w:rPr>
          <w:rFonts w:ascii="Arial" w:cs="Arial" w:eastAsia="Arial" w:hAnsi="Arial"/>
          <w:b/>
          <w:bCs/>
          <w:sz w:val="24"/>
          <w:szCs w:val="24"/>
        </w:rPr>
        <w:t xml:space="preserve">A importância do problema reside no fato de que o desempenho dos sistemas de banco de dados tem impacto direto na confiabilidade e na utilidade das aplicações IoT. Sensores geram dados em alta frequência e, muitas vezes, em caráter ininterrupto, o que impõe requisitos rigorosos quanto à latência de inserção, à capacidade de ingestão simultânea e ao tempo de resposta nas consultas. A literatura indica que bancos de dados relacionais tradicionais, embora amplamente consolidados e conhecidos por sua robustez transacional, podem apresentar limitações de escalabilidade horizontal quando submetidos a cargas típicas de ambientes IoT. Paralelamente, sistemas não relacionais surgem como alternativas promissoras, especialmente em cenários que exigem flexibilidade de esquema e alto throughput de escrita.</w:t>
      </w:r>
    </w:p>
    <w:p>
      <w:pPr>
        <w:spacing w:after="200" w:before="0" w:line="360"/>
        <w:ind w:firstLine="709"/>
        <w:jc w:val="both"/>
      </w:pPr>
      <w:r>
        <w:rPr>
          <w:rFonts w:ascii="Arial" w:cs="Arial" w:eastAsia="Arial" w:hAnsi="Arial"/>
          <w:b/>
          <w:bCs/>
          <w:sz w:val="24"/>
          <w:szCs w:val="24"/>
        </w:rPr>
        <w:t xml:space="preserve">A motivação para o desenvolvimento desta pesquisa está associada à necessidade de embasar, com dados empíricos e experimentais, a escolha entre tecnologias de armazenamento em projetos IoT. Frequentemente, decisões arquiteturais sobre o banco de dados são tomadas com base em familiaridade tecnológica ou preferências de equipe, sem uma avaliação sistemática de desempenho sob as condições reais da aplicação. Constata-se que a ausência de benchmarks específicos para o domínio de sensores IoT contribui para escolhas inadequadas, impactando negativamente o desempenho do sistema em produção, os custos de infraestrutura e a experiência do usuário final.</w:t>
      </w:r>
    </w:p>
    <w:p>
      <w:pPr>
        <w:spacing w:after="200" w:before="0" w:line="360"/>
        <w:ind w:firstLine="709"/>
        <w:jc w:val="both"/>
      </w:pPr>
      <w:r>
        <w:rPr>
          <w:rFonts w:ascii="Arial" w:cs="Arial" w:eastAsia="Arial" w:hAnsi="Arial"/>
          <w:b/>
          <w:bCs/>
          <w:sz w:val="24"/>
          <w:szCs w:val="24"/>
        </w:rPr>
        <w:t xml:space="preserve">Do ponto de vista do impacto tecnológico e social, a qualidade do armazenamento de dados IoT afeta diretamente aplicações críticas, como monitoramento de saúde de pacientes, controle de processos industriais, gestão de redes elétricas inteligentes e cidades conectadas. Nesses contextos, falhas ou atrasos no processamento dos dados de sensores podem resultar em consequências graves, tanto operacionais quanto humanas. Assim, a escolha da tecnologia de banco de dados deixa de ser uma decisão puramente técnica e passa a ter relevância estratégica, com impacto sobre a segurança, a eficiência e a sustentabilidade das soluções digitais contemporâneas.</w:t>
      </w:r>
    </w:p>
    <w:p>
      <w:pPr>
        <w:spacing w:after="200" w:before="0" w:line="360"/>
        <w:ind w:firstLine="709"/>
        <w:jc w:val="both"/>
      </w:pPr>
      <w:r>
        <w:rPr>
          <w:rFonts w:ascii="Arial" w:cs="Arial" w:eastAsia="Arial" w:hAnsi="Arial"/>
          <w:b/>
          <w:bCs/>
          <w:sz w:val="24"/>
          <w:szCs w:val="24"/>
        </w:rPr>
        <w:t xml:space="preserve">O cenário atual aponta para uma convergência entre a infraestrutura de nuvem e os ecossistemas IoT, com provedores como a Amazon Web Services (AWS) oferecendo serviços gerenciados que integram a coleta de dados via dispositivos físicos ao armazenamento em larga escala. Serviços como o AWS IoT Core permitem a ingestão automática de mensagens oriundas de sensores, enquanto opções como o Amazon RDS e o Amazon DynamoDB oferecem, respectivamente, alternativas relacionais e não relacionais dentro do mesmo ambiente de nuvem. Nesse contexto, torna-se possível realizar comparações controladas entre paradigmas de banco de dados com condições de infraestrutura equivalentes, o que confere maior rigor metodológico às investigações de desempenho.</w:t>
      </w:r>
    </w:p>
    <w:p>
      <w:r>
        <w:br w:type="page"/>
      </w:r>
    </w:p>
    <w:p>
      <w:pPr>
        <w:pStyle w:val="Heading1"/>
        <w:spacing w:after="240" w:before="480" w:line="360"/>
        <w:jc w:val="left"/>
      </w:pPr>
      <w:r>
        <w:rPr>
          <w:rFonts w:ascii="Arial" w:cs="Arial" w:eastAsia="Arial" w:hAnsi="Arial"/>
          <w:b/>
          <w:bCs/>
          <w:sz w:val="24"/>
          <w:szCs w:val="24"/>
        </w:rPr>
        <w:t xml:space="preserve">2  PROBLEMA E OBJETIVOS</w:t>
      </w:r>
    </w:p>
    <w:p>
      <w:pPr>
        <w:spacing w:after="200" w:before="0" w:line="360"/>
        <w:ind w:firstLine="709"/>
        <w:jc w:val="both"/>
      </w:pPr>
      <w:r>
        <w:rPr>
          <w:rFonts w:ascii="Arial" w:cs="Arial" w:eastAsia="Arial" w:hAnsi="Arial"/>
          <w:b/>
          <w:bCs/>
          <w:sz w:val="24"/>
          <w:szCs w:val="24"/>
        </w:rPr>
        <w:t xml:space="preserve">O problema principal identificado nesta pesquisa consiste na ausência de critérios objetivos e empiricamente fundamentados para a seleção do modelo de banco de dados mais adequado ao armazenamento de dados gerados por sensores IoT em ambientes de nuvem. Embora tanto os bancos relacionais quanto os não relacionais sejam amplamente utilizados no mercado, a comparação entre eles sob cargas de trabalho realistas e equivalentes ainda carece de investigação aprofundada, especialmente no que se refere ao contexto específico de dispositivos IoT com alta taxa de geração de dados. Essa lacuna dificulta que arquitetos de software e engenheiros de dados tomem decisões embasadas durante o planejamento de sistemas IoT.</w:t>
      </w:r>
    </w:p>
    <w:p>
      <w:pPr>
        <w:spacing w:after="200" w:before="0" w:line="360"/>
        <w:ind w:firstLine="709"/>
        <w:jc w:val="both"/>
      </w:pPr>
      <w:r>
        <w:rPr>
          <w:rFonts w:ascii="Arial" w:cs="Arial" w:eastAsia="Arial" w:hAnsi="Arial"/>
          <w:b/>
          <w:bCs/>
          <w:sz w:val="24"/>
          <w:szCs w:val="24"/>
        </w:rPr>
        <w:t xml:space="preserve">A lacuna encontrada na literatura está relacionada à escassez de estudos que avaliem, de forma simultânea e controlada, o desempenho de um banco relacional gerenciado e de um banco NoSQL dentro do mesmo ambiente de nuvem, utilizando dados reais de sensores IoT como carga de trabalho. A maioria dos trabalhos disponíveis realiza comparações em ambientes heterogêneos, com configurações distintas de hardware ou software, o que compromete a validade dos resultados. Além disso, poucos estudos exploram o impacto do uso do AWS IoT Core como camada de ingestão intermediária, o que representa uma arquitetura cada vez mais adotada na indústria, mas ainda pouco investigada academicamente.</w:t>
      </w:r>
    </w:p>
    <w:p>
      <w:pPr>
        <w:spacing w:after="200" w:before="0" w:line="360"/>
        <w:ind w:firstLine="709"/>
        <w:jc w:val="both"/>
      </w:pPr>
      <w:r>
        <w:rPr>
          <w:rFonts w:ascii="Arial" w:cs="Arial" w:eastAsia="Arial" w:hAnsi="Arial"/>
          <w:b/>
          <w:bCs/>
          <w:sz w:val="24"/>
          <w:szCs w:val="24"/>
        </w:rPr>
        <w:t xml:space="preserve">O objetivo geral desta pesquisa consiste em avaliar comparativamente o desempenho do Amazon RDS com PostgreSQL e do Amazon DynamoDB no armazenamento de dados oriundos de sensores IoT, considerando métricas como latência de inserção, throughput e tempo de consulta, em um ambiente de nuvem controlado com ingestão via AWS IoT Core. Busca-se, com isso, fornecer subsídios técnicos que orientem a escolha tecnológica em projetos de armazenamento IoT, com base em evidências experimentais e não apenas em suposições ou generalizações.</w:t>
      </w:r>
    </w:p>
    <w:p>
      <w:pPr>
        <w:spacing w:after="200" w:before="0" w:line="360"/>
        <w:ind w:firstLine="709"/>
        <w:jc w:val="both"/>
      </w:pPr>
      <w:r>
        <w:rPr>
          <w:rFonts w:ascii="Arial" w:cs="Arial" w:eastAsia="Arial" w:hAnsi="Arial"/>
          <w:b/>
          <w:bCs/>
          <w:sz w:val="24"/>
          <w:szCs w:val="24"/>
        </w:rPr>
        <w:t xml:space="preserve">Os objetivos específicos desta pesquisa compreendem: configurar um ambiente de testes reprodutível na AWS, com sensores simulados e ingestão automática via AWS IoT Core; implementar rotinas de escrita e leitura equivalentes nos dois sistemas de banco de dados; mensurar e comparar métricas de desempenho sob diferentes volumes e taxas de inserção; e desenvolver um dashboard analítico capaz de visualizar os dados históricos e correntes, validando a usabilidade da arquitetura proposta em um cenário próximo ao real.</w:t>
      </w:r>
    </w:p>
    <w:p>
      <w:pPr>
        <w:spacing w:after="200" w:before="0" w:line="360"/>
        <w:ind w:firstLine="709"/>
        <w:jc w:val="both"/>
      </w:pPr>
      <w:r>
        <w:rPr>
          <w:rFonts w:ascii="Arial" w:cs="Arial" w:eastAsia="Arial" w:hAnsi="Arial"/>
          <w:b/>
          <w:bCs/>
          <w:sz w:val="24"/>
          <w:szCs w:val="24"/>
        </w:rPr>
        <w:t xml:space="preserve">A hipótese central desta pesquisa é que o Amazon DynamoDB apresentará desempenho superior ao Amazon RDS com PostgreSQL em operações de alta taxa de inserção, típicas de ambientes IoT com múltiplos sensores ativos simultaneamente, devido à sua arquitetura distribuída e ao modelo de dados schema-free. Contudo, considera-se que o PostgreSQL pode apresentar vantagens em consultas analíticas complexas e em cenários que exigem consistência transacional, o que tornaria a escolha entre as tecnologias dependente do perfil predominante da carga de trabalho da aplicação.</w:t>
      </w:r>
    </w:p>
    <w:p>
      <w:r>
        <w:br w:type="page"/>
      </w:r>
    </w:p>
    <w:p>
      <w:pPr>
        <w:pStyle w:val="Heading1"/>
        <w:spacing w:after="240" w:before="480" w:line="360"/>
        <w:jc w:val="left"/>
      </w:pPr>
      <w:r>
        <w:rPr>
          <w:rFonts w:ascii="Arial" w:cs="Arial" w:eastAsia="Arial" w:hAnsi="Arial"/>
          <w:b/>
          <w:bCs/>
          <w:sz w:val="24"/>
          <w:szCs w:val="24"/>
        </w:rPr>
        <w:t xml:space="preserve">3  FUNDAMENTAÇÃO INICIAL</w:t>
      </w:r>
    </w:p>
    <w:p>
      <w:pPr>
        <w:spacing w:after="200" w:before="0" w:line="360"/>
        <w:ind w:firstLine="709"/>
        <w:jc w:val="both"/>
      </w:pPr>
      <w:r>
        <w:rPr>
          <w:rFonts w:ascii="Arial" w:cs="Arial" w:eastAsia="Arial" w:hAnsi="Arial"/>
          <w:b/>
          <w:bCs/>
          <w:sz w:val="24"/>
          <w:szCs w:val="24"/>
        </w:rPr>
        <w:t xml:space="preserve">Os conceitos centrais que embasam esta pesquisa incluem a definição e as características dos bancos de dados relacionais e não relacionais, bem como os fundamentos da Internet das Coisas e os requisitos de armazenamento associados a sistemas de sensoriamento. Bancos relacionais, como o PostgreSQL, são caracterizados pela organização dos dados em tabelas com esquema predefinido, pela garantia de propriedades ACID (Atomicidade, Consistência, Isolamento e Durabilidade) e pelo suporte a consultas complexas via SQL. Em contrapartida, bancos NoSQL, como o DynamoDB, adotam modelos de dados flexíveis, com foco em escalabilidade horizontal e alta disponibilidade.</w:t>
      </w:r>
    </w:p>
    <w:p>
      <w:pPr>
        <w:spacing w:after="200" w:before="0" w:line="360"/>
        <w:ind w:firstLine="709"/>
        <w:jc w:val="both"/>
      </w:pPr>
      <w:r>
        <w:rPr>
          <w:rFonts w:ascii="Arial" w:cs="Arial" w:eastAsia="Arial" w:hAnsi="Arial"/>
          <w:b/>
          <w:bCs/>
          <w:sz w:val="24"/>
          <w:szCs w:val="24"/>
        </w:rPr>
        <w:t xml:space="preserve">A literatura indica que a escolha entre bancos de dados relacionais e não relacionais para ambientes IoT envolve um conjunto de trade-offs que depende diretamente do perfil da aplicação. Diversos autores apontam que, em cenários com alto volume de inserções, dados sem estrutura fixa e necessidade de escalabilidade automática, os bancos NoSQL tendem a apresentar desempenho superior. Estudos como os conduzidos por Carr et al. (2023) demonstram que a heterogeneidade e o volume dos dados gerados por dispositivos IoT representam desafios significativos para os modelos relacionais tradicionais, enquanto soluções baseadas em armazenamento distribuído mostram-se mais adequadas para esse tipo de carga.</w:t>
      </w:r>
    </w:p>
    <w:p>
      <w:pPr>
        <w:spacing w:after="200" w:before="0" w:line="360"/>
        <w:ind w:firstLine="709"/>
        <w:jc w:val="both"/>
      </w:pPr>
      <w:r>
        <w:rPr>
          <w:rFonts w:ascii="Arial" w:cs="Arial" w:eastAsia="Arial" w:hAnsi="Arial"/>
          <w:b/>
          <w:bCs/>
          <w:sz w:val="24"/>
          <w:szCs w:val="24"/>
        </w:rPr>
        <w:t xml:space="preserve">No que diz respeito às soluções existentes, observa-se que o AWS IoT Core se consolidou como uma das principais plataformas para gerenciamento de dispositivos IoT em escala, oferecendo suporte ao protocolo MQTT, regras de roteamento e integração nativa com outros serviços da AWS. A avaliação conduzida por Campos et al. (2019) reforça a viabilidade de soluções baseadas em nuvem para o armazenamento de dados de sensoriamento, comparando PostgreSQL, MongoDB e VoltDB sob condições controladas e concluindo que cada tecnologia apresenta vantagens distintas conforme o padrão de acesso aos dados.</w:t>
      </w:r>
    </w:p>
    <w:p>
      <w:pPr>
        <w:spacing w:after="200" w:before="0" w:line="360"/>
        <w:ind w:firstLine="709"/>
        <w:jc w:val="both"/>
      </w:pPr>
      <w:r>
        <w:rPr>
          <w:rFonts w:ascii="Arial" w:cs="Arial" w:eastAsia="Arial" w:hAnsi="Arial"/>
          <w:b/>
          <w:bCs/>
          <w:sz w:val="24"/>
          <w:szCs w:val="24"/>
        </w:rPr>
        <w:t xml:space="preserve">As arquiteturas citadas na literatura para sistemas IoT frequentemente adotam um modelo em camadas, no qual os dados percorrem um fluxo desde a coleta nos sensores, passando por uma camada de ingestão e processamento, até o armazenamento e a visualização. Trabalhos como o de Silva et al. (2020), apresentado no Simpósio Brasileiro de Redes de Computadores (SBRC), destacam a importância de plataformas abertas e escaláveis para o gerenciamento de dispositivos heterogêneos. Arquiteturas baseadas em microsserviços, como as discutidas por Costa et al. (2021), enfatizam a separação de responsabilidades entre os componentes de armazenamento, processamento e apresentação.</w:t>
      </w:r>
    </w:p>
    <w:p>
      <w:pPr>
        <w:spacing w:after="200" w:before="0" w:line="360"/>
        <w:ind w:firstLine="709"/>
        <w:jc w:val="both"/>
      </w:pPr>
      <w:r>
        <w:rPr>
          <w:rFonts w:ascii="Arial" w:cs="Arial" w:eastAsia="Arial" w:hAnsi="Arial"/>
          <w:b/>
          <w:bCs/>
          <w:sz w:val="24"/>
          <w:szCs w:val="24"/>
        </w:rPr>
        <w:t xml:space="preserve">As tendências e as oportunidades de melhoria identificadas na literatura convergem para a necessidade de benchmarks mais rigorosos, realizados em ambientes de nuvem gerenciados e com cargas de trabalho representativas de aplicações IoT reais. Observa-se que o crescimento contínuo do número de dispositivos conectados e a expansão dos casos de uso demandam arquiteturas de armazenamento cada vez mais eficientes e adaptáveis. A presente pesquisa busca contribuir para o preenchimento dessa lacuna, oferecendo resultados experimentais que possam orientar decisões arquiteturais em projetos IoT baseados em nuvem.</w:t>
      </w:r>
    </w:p>
    <w:p>
      <w:r>
        <w:br w:type="page"/>
      </w:r>
    </w:p>
    <w:p>
      <w:pPr>
        <w:spacing w:after="480" w:before="0" w:line="360"/>
        <w:jc w:val="center"/>
      </w:pPr>
      <w:r>
        <w:rPr>
          <w:rFonts w:ascii="Arial" w:cs="Arial" w:eastAsia="Arial" w:hAnsi="Arial"/>
          <w:b/>
          <w:bCs/>
          <w:sz w:val="24"/>
          <w:szCs w:val="24"/>
        </w:rPr>
        <w:t xml:space="preserve">REFERÊNCIAS</w:t>
      </w:r>
    </w:p>
    <w:p>
      <w:pPr>
        <w:spacing w:after="240" w:before="0" w:line="240"/>
        <w:jc w:val="both"/>
      </w:pPr>
      <w:r>
        <w:rPr>
          <w:rFonts w:ascii="Arial" w:cs="Arial" w:eastAsia="Arial" w:hAnsi="Arial"/>
          <w:b/>
          <w:bCs/>
          <w:sz w:val="24"/>
          <w:szCs w:val="24"/>
        </w:rPr>
        <w:t xml:space="preserve">CAMPOS, T. de A. et al. Avaliação de plataformas de armazenamento em nuvem para dados de sensores. ResearchGate, 2019. Disponível em: https://www.researchgate.net/publication/337186828. Acesso em: abr. 2025.</w:t>
      </w:r>
    </w:p>
    <w:p>
      <w:pPr>
        <w:spacing w:after="240" w:before="0" w:line="240"/>
        <w:jc w:val="both"/>
      </w:pPr>
      <w:r>
        <w:rPr>
          <w:rFonts w:ascii="Arial" w:cs="Arial" w:eastAsia="Arial" w:hAnsi="Arial"/>
          <w:b/>
          <w:bCs/>
          <w:sz w:val="24"/>
          <w:szCs w:val="24"/>
        </w:rPr>
        <w:t xml:space="preserve">CARR, E. N. et al. Modelagem de dados para a Internet das Coisas (IoT): desafios e soluções. Observatório de la Economía Latinoamericana, v. 21, n. 12, p. 23858–23874, 2023. Disponível em: https://ojs.observatoriolatinoamericano.com/ojs/index.php/olel/article/view/1421. Acesso em: abr. 2025.</w:t>
      </w:r>
    </w:p>
    <w:p>
      <w:pPr>
        <w:spacing w:after="240" w:before="0" w:line="240"/>
        <w:jc w:val="both"/>
      </w:pPr>
      <w:r>
        <w:rPr>
          <w:rFonts w:ascii="Arial" w:cs="Arial" w:eastAsia="Arial" w:hAnsi="Arial"/>
          <w:b/>
          <w:bCs/>
          <w:sz w:val="24"/>
          <w:szCs w:val="24"/>
        </w:rPr>
        <w:t xml:space="preserve">COSTA, R. et al. Uso de banco de dados em arquitetura de microsserviços. Journal of Innovation and Science: Research and Application, 2021. Disponível em: https://joins.emnuvens.com.br/joins/article/view/99. Acesso em: abr. 2025.</w:t>
      </w:r>
    </w:p>
    <w:p>
      <w:pPr>
        <w:spacing w:after="240" w:before="0" w:line="240"/>
        <w:jc w:val="both"/>
      </w:pPr>
      <w:r>
        <w:rPr>
          <w:rFonts w:ascii="Arial" w:cs="Arial" w:eastAsia="Arial" w:hAnsi="Arial"/>
          <w:b/>
          <w:bCs/>
          <w:sz w:val="24"/>
          <w:szCs w:val="24"/>
        </w:rPr>
        <w:t xml:space="preserve">SILVA, A. et al. Banco de dados para IoT. Revista de Ubiquidade, Centro Universitário Anchieta, 2024. Disponível em: https://revistas.anchieta.br/index.php/RevistaUbiquidade/article/view/2292. Acesso em: abr. 2025.</w:t>
      </w:r>
    </w:p>
    <w:p>
      <w:pPr>
        <w:spacing w:after="240" w:before="0" w:line="240"/>
        <w:jc w:val="both"/>
      </w:pPr>
      <w:r>
        <w:rPr>
          <w:rFonts w:ascii="Arial" w:cs="Arial" w:eastAsia="Arial" w:hAnsi="Arial"/>
          <w:b/>
          <w:bCs/>
          <w:sz w:val="24"/>
          <w:szCs w:val="24"/>
        </w:rPr>
        <w:t xml:space="preserve">SILVA, D. O. et al. Desempenho e escalabilidade de plataformas livres de IoT. In: SIMPÓSIO BRASILEIRO DE REDES DE COMPUTADORES E SISTEMAS DISTRIBUÍDOS (SBRC), 38., 2020, Rio de Janeiro. Anais [...]. Porto Alegre: SBC, 2020. Disponível em: https://sol.sbc.org.br/index.php/sbrc/article/view/12274. Acesso em: abr. 2025.</w:t>
      </w:r>
    </w:p>
    <w:sectPr>
      <w:head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b/>
        <w:bC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360"/>
      <w:outlineLvl w:val="0"/>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2026-05-09T03:01:23.699Z</dcterms:created>
  <dcterms:modified xsi:type="dcterms:W3CDTF">2026-05-09T03:01:23.699Z</dcterms:modified>
</cp:coreProperties>
</file>

<file path=docProps/custom.xml><?xml version="1.0" encoding="utf-8"?>
<Properties xmlns="http://schemas.openxmlformats.org/officeDocument/2006/custom-properties" xmlns:vt="http://schemas.openxmlformats.org/officeDocument/2006/docPropsVTypes"/>
</file>