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Hydrology-Based Flood Discharge &amp; HFL Estimation – EPC SaaS Reference Note</w:t>
      </w:r>
    </w:p>
    <w:p>
      <w:pPr>
        <w:pStyle w:val="Heading2"/>
      </w:pPr>
      <w:r>
        <w:t>Purpose of This Document</w:t>
      </w:r>
    </w:p>
    <w:p>
      <w:r>
        <w:t>This document explains how empirical flood-discharge formulas and High Flood Level (HFL) determination are practically used in Indian EPC hydrology projects, and how these methods can be automated into a B2B SaaS platform.</w:t>
      </w:r>
    </w:p>
    <w:p>
      <w:pPr>
        <w:pStyle w:val="Heading2"/>
      </w:pPr>
      <w:r>
        <w:t>What the Framework Represents</w:t>
      </w:r>
    </w:p>
    <w:p>
      <w:r>
        <w:t>The methodology is not a single model but a decision framework combining empirical formulas, basin-wise engineering practice, terrain classification, and regulatory defensibility. It is primarily used for ungauged or sparsely gauged river reaches.</w:t>
      </w:r>
    </w:p>
    <w:p>
      <w:pPr>
        <w:pStyle w:val="Heading2"/>
      </w:pPr>
      <w:r>
        <w:t>Why Multiple Flood-Discharge Formulas Exist</w:t>
      </w:r>
    </w:p>
    <w:p>
      <w:r>
        <w:t>Flood-discharge formulas are empirical and region-specific. Each formula is valid only under certain physiographic and rainfall conditions. Using an incorrect formula may lead to technically or legally unacceptable designs.</w:t>
      </w:r>
    </w:p>
    <w:p>
      <w:pPr>
        <w:pStyle w:val="Heading2"/>
      </w:pPr>
      <w:r>
        <w:t>Core Flood-Discharge Formulas – Practical Meaning</w:t>
      </w:r>
    </w:p>
    <w:p>
      <w:r>
        <w:t>Creager: Extreme floods in steep Himalayan and Western Ghats catchments.</w:t>
        <w:br/>
        <w:t>Dicken: Large monsoon-driven alluvial rivers.</w:t>
        <w:br/>
        <w:t>Fanning: Transitional rolling or plateau terrain.</w:t>
        <w:br/>
        <w:t>Fuller: Statistical validation and extreme flood checks.</w:t>
        <w:br/>
        <w:t>Inglis: Deccan plateau rivers.</w:t>
        <w:br/>
        <w:t>Ryves: Short, steep Western Ghats rivers.</w:t>
        <w:br/>
        <w:t>Observed HFL: Governing parameter wherever available.</w:t>
      </w:r>
    </w:p>
    <w:p>
      <w:pPr>
        <w:pStyle w:val="Heading2"/>
      </w:pPr>
      <w:r>
        <w:t>Critical Engineering Rule</w:t>
      </w:r>
    </w:p>
    <w:p>
      <w:r>
        <w:t>Empirical formulas estimate flood discharge only. HFL must be determined using observed data, gauge correlation, or hydraulic conversion. Formulas support HFL estimation but do not directly define it.</w:t>
      </w:r>
    </w:p>
    <w:p>
      <w:pPr>
        <w:pStyle w:val="Heading2"/>
      </w:pPr>
      <w:r>
        <w:t>Practical EPC Workflow</w:t>
      </w:r>
    </w:p>
    <w:p>
      <w:r>
        <w:t>1. Classify location (basin, terrain, tidal influence).</w:t>
        <w:br/>
        <w:t>2. Determine permissible methods.</w:t>
        <w:br/>
        <w:t>3. Estimate design discharge using approved formulas.</w:t>
        <w:br/>
        <w:t>4. Convert discharge to HFL using hydraulic or gauge-based methods.</w:t>
      </w:r>
    </w:p>
    <w:p>
      <w:pPr>
        <w:pStyle w:val="Heading2"/>
      </w:pPr>
      <w:r>
        <w:t>HFL Determination Hierarchy</w:t>
      </w:r>
    </w:p>
    <w:p>
      <w:r>
        <w:t>1. Observed gauge HFL.</w:t>
        <w:br/>
        <w:t>2. Gauge correlation.</w:t>
        <w:br/>
        <w:t>3. Hydraulic computation.</w:t>
        <w:br/>
        <w:t>4. Empirical formula support only.</w:t>
      </w:r>
    </w:p>
    <w:p>
      <w:pPr>
        <w:pStyle w:val="Heading2"/>
      </w:pPr>
      <w:r>
        <w:t>Why EPC Firms Will Pay for This SaaS</w:t>
      </w:r>
    </w:p>
    <w:p>
      <w:r>
        <w:t>The platform reduces reliance on tribal knowledge, prevents method misuse, speeds up bid-stage hydrology, and produces defensible design notes aligned with Indian practice.</w:t>
      </w:r>
    </w:p>
    <w:p>
      <w:pPr>
        <w:pStyle w:val="Heading2"/>
      </w:pPr>
      <w:r>
        <w:t>SaaS Architecture Implication</w:t>
      </w:r>
    </w:p>
    <w:p>
      <w:r>
        <w:t>The true value lies in rule engines, applicability logic, basin-specific defaults, audit-ready explanations, and auto-generated hydrology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