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Canvas-課程練習範本</w:t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br w:type="textWrapping"/>
        <w:t xml:space="preserve">課堂範例-路徑概念</w:t>
        <w:br w:type="textWrapping"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https://codepen.io/IreneHsiao/pen/dyyEONg</w:t>
        </w:r>
      </w:hyperlink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color w:val="1155cc"/>
          <w:sz w:val="24"/>
          <w:szCs w:val="24"/>
          <w:u w:val="single"/>
        </w:rPr>
        <w:drawing>
          <wp:inline distB="114300" distT="114300" distL="114300" distR="114300">
            <wp:extent cx="4548188" cy="22967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296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t xml:space="preserve">課堂練習-路徑繪製(三角形)</w:t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https://codepen.io/IreneHsiao/pen/WNNBoYR?editors=0010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</w:rPr>
        <w:drawing>
          <wp:inline distB="114300" distT="114300" distL="114300" distR="114300">
            <wp:extent cx="2262188" cy="2262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depen.io/IreneHsiao/pen/dyyEONg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odepen.io/IreneHsiao/pen/WNNBoYR?editors=0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